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14</w:t>
                </w:r>
              </w:sdtContent>
            </w:sdt>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אפרת ונקרט</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386CE2" w:rsidRDefault="00D5377E" w:rsidP="00D5377E">
                <w:pPr>
                  <w:suppressLineNumbers/>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ת</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6F4C5C" w:rsidP="00B40421">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B40421">
                  <w:rPr>
                    <w:rFonts w:ascii="Arial" w:hAnsi="Arial" w:hint="cs"/>
                    <w:b/>
                    <w:bCs/>
                    <w:noProof w:val="0"/>
                    <w:sz w:val="26"/>
                    <w:szCs w:val="26"/>
                    <w:rtl/>
                  </w:rPr>
                  <w:t>ג'</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5"/>
                <w:tag w:val="2315"/>
                <w:id w:val="185342525"/>
                <w:placeholder>
                  <w:docPart w:val="05E7DE95815641A5862D6440CD534EB0"/>
                </w:placeholder>
                <w:showingPlcHdr/>
                <w:text w:multiLine="1"/>
              </w:sdtPr>
              <w:sdtEndPr/>
              <w:sdtContent>
                <w:r w:rsidR="00B40421" w:rsidRPr="00E54CD9">
                  <w:rPr>
                    <w:rFonts w:ascii="Arial" w:hAnsi="Arial" w:hint="eastAsia"/>
                    <w:b/>
                    <w:bCs/>
                    <w:noProof w:val="0"/>
                    <w:sz w:val="26"/>
                    <w:szCs w:val="26"/>
                    <w:rtl/>
                  </w:rPr>
                  <w:t>סוג</w:t>
                </w:r>
                <w:r w:rsidR="00B40421" w:rsidRPr="00E54CD9">
                  <w:rPr>
                    <w:rFonts w:ascii="Arial" w:hAnsi="Arial"/>
                    <w:b/>
                    <w:bCs/>
                    <w:noProof w:val="0"/>
                    <w:sz w:val="26"/>
                    <w:szCs w:val="26"/>
                    <w:rtl/>
                  </w:rPr>
                  <w:t xml:space="preserve"> זיהוי צד א'</w:t>
                </w:r>
              </w:sdtContent>
            </w:sdt>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6F4C5C" w:rsidP="00D44968">
            <w:pPr>
              <w:suppressLineNumbers/>
              <w:rPr>
                <w:rFonts w:ascii="Arial" w:hAnsi="Arial"/>
                <w:b/>
                <w:bCs/>
                <w:noProof w:val="0"/>
                <w:sz w:val="26"/>
                <w:szCs w:val="26"/>
              </w:rPr>
            </w:pPr>
            <w:sdt>
              <w:sdtPr>
                <w:rPr>
                  <w:rtl/>
                </w:rPr>
                <w:alias w:val="1184"/>
                <w:tag w:val="1184"/>
                <w:id w:val="-340621022"/>
                <w:text w:multiLine="1"/>
              </w:sdtPr>
              <w:sdtEndPr/>
              <w:sdtContent>
                <w:r w:rsidR="00064651">
                  <w:rPr>
                    <w:rFonts w:ascii="Arial" w:hAnsi="Arial"/>
                    <w:b/>
                    <w:bCs/>
                    <w:noProof w:val="0"/>
                    <w:sz w:val="26"/>
                    <w:szCs w:val="26"/>
                    <w:rtl/>
                  </w:rPr>
                  <w:t>משיבים</w:t>
                </w:r>
              </w:sdtContent>
            </w:sdt>
          </w:p>
        </w:tc>
        <w:tc>
          <w:tcPr>
            <w:tcW w:w="5571" w:type="dxa"/>
            <w:gridSpan w:val="2"/>
          </w:tcPr>
          <w:p w:rsidR="00CF6BB7" w:rsidRDefault="00CF6BB7" w:rsidP="00D44968">
            <w:pPr>
              <w:suppressLineNumbers/>
              <w:rPr>
                <w:b/>
                <w:bCs/>
                <w:noProof w:val="0"/>
                <w:sz w:val="26"/>
                <w:szCs w:val="26"/>
                <w:rtl/>
              </w:rPr>
            </w:pPr>
          </w:p>
          <w:p w:rsidR="0094424E" w:rsidRPr="00E54CD9" w:rsidRDefault="006F4C5C" w:rsidP="00B40421">
            <w:pPr>
              <w:suppressLineNumbers/>
              <w:rPr>
                <w:rFonts w:ascii="Arial" w:hAnsi="Arial"/>
                <w:b/>
                <w:bCs/>
                <w:noProof w:val="0"/>
                <w:sz w:val="26"/>
                <w:szCs w:val="26"/>
                <w:rtl/>
              </w:rPr>
            </w:pPr>
            <w:sdt>
              <w:sdtPr>
                <w:rPr>
                  <w:rtl/>
                </w:rPr>
                <w:alias w:val="1571"/>
                <w:tag w:val="1571"/>
                <w:id w:val="1028836282"/>
                <w:text w:multiLine="1"/>
              </w:sdtPr>
              <w:sdtEndPr/>
              <w:sdtContent>
                <w:r w:rsidR="00064651">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r w:rsidR="00B40421">
              <w:rPr>
                <w:rFonts w:ascii="Arial" w:hAnsi="Arial" w:hint="cs"/>
                <w:b/>
                <w:bCs/>
                <w:noProof w:val="0"/>
                <w:sz w:val="26"/>
                <w:szCs w:val="26"/>
                <w:rtl/>
              </w:rPr>
              <w:t>ר' ג'</w:t>
            </w:r>
          </w:p>
          <w:p w:rsidR="0094424E" w:rsidRPr="00E54CD9" w:rsidRDefault="006F4C5C" w:rsidP="00B40421">
            <w:pPr>
              <w:suppressLineNumbers/>
              <w:rPr>
                <w:rFonts w:ascii="Arial" w:hAnsi="Arial"/>
                <w:b/>
                <w:bCs/>
                <w:noProof w:val="0"/>
                <w:sz w:val="26"/>
                <w:szCs w:val="26"/>
                <w:rtl/>
              </w:rPr>
            </w:pPr>
            <w:sdt>
              <w:sdtPr>
                <w:rPr>
                  <w:rtl/>
                </w:rPr>
                <w:alias w:val="1571"/>
                <w:tag w:val="1571"/>
                <w:id w:val="-1758970305"/>
                <w:text w:multiLine="1"/>
              </w:sdtPr>
              <w:sdtEndPr/>
              <w:sdtContent>
                <w:r w:rsidR="00064651">
                  <w:rPr>
                    <w:rFonts w:ascii="Arial" w:hAnsi="Arial"/>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r w:rsidR="00B40421">
              <w:rPr>
                <w:rFonts w:ascii="Arial" w:hAnsi="Arial" w:hint="cs"/>
                <w:b/>
                <w:bCs/>
                <w:noProof w:val="0"/>
                <w:sz w:val="26"/>
                <w:szCs w:val="26"/>
                <w:rtl/>
              </w:rPr>
              <w:t>א' ל'</w:t>
            </w:r>
          </w:p>
        </w:tc>
      </w:tr>
      <w:tr w:rsidR="00CF6BB7" w:rsidTr="00280865">
        <w:trPr>
          <w:jc w:val="center"/>
        </w:trPr>
        <w:tc>
          <w:tcPr>
            <w:tcW w:w="8820" w:type="dxa"/>
            <w:gridSpan w:val="4"/>
          </w:tcPr>
          <w:p w:rsidR="00CF6BB7" w:rsidRPr="00996935" w:rsidRDefault="00CF6BB7" w:rsidP="00D44968">
            <w:pPr>
              <w:suppressLineNumbers/>
            </w:pPr>
          </w:p>
          <w:p w:rsidR="00CF6BB7" w:rsidRPr="00996935" w:rsidRDefault="00CF6BB7" w:rsidP="00D44968">
            <w:pPr>
              <w:suppressLineNumbers/>
              <w:rPr>
                <w:rtl/>
              </w:rPr>
            </w:pPr>
          </w:p>
          <w:p w:rsidR="00CF6BB7" w:rsidRPr="00996935" w:rsidRDefault="00CF6BB7" w:rsidP="00D44968">
            <w:pPr>
              <w:suppressLineNumbers/>
              <w:rPr>
                <w:rtl/>
              </w:rPr>
            </w:pPr>
          </w:p>
        </w:tc>
      </w:tr>
      <w:tr w:rsidR="00CF6BB7">
        <w:trPr>
          <w:jc w:val="center"/>
        </w:trPr>
        <w:tc>
          <w:tcPr>
            <w:tcW w:w="3249" w:type="dxa"/>
            <w:gridSpan w:val="2"/>
          </w:tcPr>
          <w:p w:rsidR="00386CE2" w:rsidRDefault="00386CE2">
            <w:pPr>
              <w:rPr>
                <w:rFonts w:ascii="David" w:eastAsia="David" w:hAnsi="David"/>
                <w:noProof w:val="0"/>
              </w:rPr>
            </w:pPr>
          </w:p>
        </w:tc>
        <w:tc>
          <w:tcPr>
            <w:tcW w:w="5571" w:type="dxa"/>
            <w:gridSpan w:val="2"/>
          </w:tcPr>
          <w:p w:rsidR="00386CE2" w:rsidRDefault="00386CE2">
            <w:pPr>
              <w:rPr>
                <w:b/>
                <w:bCs/>
                <w:sz w:val="26"/>
                <w:szCs w:val="26"/>
              </w:rPr>
            </w:pPr>
          </w:p>
        </w:tc>
      </w:tr>
      <w:tr w:rsidR="004C17EE" w:rsidTr="00D620FD">
        <w:trPr>
          <w:jc w:val="center"/>
        </w:trPr>
        <w:tc>
          <w:tcPr>
            <w:tcW w:w="8820" w:type="dxa"/>
            <w:gridSpan w:val="4"/>
          </w:tcPr>
          <w:p w:rsidR="00386CE2" w:rsidRDefault="00386CE2">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D5377E" w:rsidRDefault="00D5377E" w:rsidP="00A248EE">
      <w:pPr>
        <w:spacing w:line="360" w:lineRule="auto"/>
        <w:rPr>
          <w:rFonts w:ascii="David" w:hAnsi="David"/>
          <w:noProof w:val="0"/>
        </w:rPr>
      </w:pPr>
      <w:bookmarkStart w:id="0" w:name="NGCSBookmark"/>
      <w:bookmarkEnd w:id="0"/>
      <w:r>
        <w:rPr>
          <w:rFonts w:ascii="David" w:hAnsi="David" w:hint="cs"/>
          <w:rtl/>
        </w:rPr>
        <w:t xml:space="preserve">בפניי </w:t>
      </w:r>
      <w:r>
        <w:rPr>
          <w:rFonts w:ascii="David" w:hAnsi="David"/>
          <w:rtl/>
        </w:rPr>
        <w:t xml:space="preserve">טענת התיישנות </w:t>
      </w:r>
      <w:r w:rsidR="00A248EE">
        <w:rPr>
          <w:rFonts w:ascii="David" w:hAnsi="David" w:hint="cs"/>
          <w:rtl/>
        </w:rPr>
        <w:t>שהגישה אשת המנוח, התובעת, ביחס ל</w:t>
      </w:r>
      <w:r>
        <w:rPr>
          <w:rFonts w:ascii="David" w:hAnsi="David"/>
          <w:rtl/>
        </w:rPr>
        <w:t xml:space="preserve">תביעת איזון משאבים של </w:t>
      </w:r>
      <w:r w:rsidR="00A248EE">
        <w:rPr>
          <w:rFonts w:ascii="David" w:hAnsi="David" w:hint="cs"/>
          <w:rtl/>
        </w:rPr>
        <w:t>יורשי המנוח (שנכנסו בנעליו</w:t>
      </w:r>
      <w:r>
        <w:rPr>
          <w:rFonts w:ascii="David" w:hAnsi="David"/>
          <w:rtl/>
        </w:rPr>
        <w:t xml:space="preserve">) </w:t>
      </w:r>
      <w:r w:rsidR="00A248EE">
        <w:rPr>
          <w:rFonts w:ascii="David" w:hAnsi="David" w:hint="cs"/>
          <w:rtl/>
        </w:rPr>
        <w:t>כנגד</w:t>
      </w:r>
      <w:r>
        <w:rPr>
          <w:rFonts w:ascii="David" w:hAnsi="David"/>
          <w:rtl/>
        </w:rPr>
        <w:t xml:space="preserve"> </w:t>
      </w:r>
      <w:r w:rsidR="00A248EE">
        <w:rPr>
          <w:rFonts w:ascii="David" w:hAnsi="David" w:hint="cs"/>
          <w:rtl/>
        </w:rPr>
        <w:t>אשת של המנוח (</w:t>
      </w:r>
      <w:r>
        <w:rPr>
          <w:rFonts w:ascii="David" w:hAnsi="David"/>
          <w:rtl/>
        </w:rPr>
        <w:t>התובעת</w:t>
      </w:r>
      <w:r w:rsidR="00A248EE">
        <w:rPr>
          <w:rFonts w:ascii="David" w:hAnsi="David" w:hint="cs"/>
          <w:rtl/>
        </w:rPr>
        <w:t>)</w:t>
      </w:r>
      <w:r>
        <w:rPr>
          <w:rFonts w:ascii="David" w:hAnsi="David"/>
          <w:rtl/>
        </w:rPr>
        <w:t>.</w:t>
      </w:r>
    </w:p>
    <w:p w:rsidR="00D5377E" w:rsidRDefault="00D5377E" w:rsidP="00D5377E">
      <w:pPr>
        <w:spacing w:line="360" w:lineRule="auto"/>
        <w:rPr>
          <w:rFonts w:ascii="David" w:hAnsi="David"/>
          <w:rtl/>
        </w:rPr>
      </w:pPr>
    </w:p>
    <w:p w:rsidR="00D5377E" w:rsidRDefault="00D5377E" w:rsidP="00D5377E">
      <w:pPr>
        <w:spacing w:line="360" w:lineRule="auto"/>
        <w:jc w:val="both"/>
        <w:rPr>
          <w:rFonts w:ascii="David" w:hAnsi="David"/>
          <w:b/>
          <w:bCs/>
          <w:rtl/>
        </w:rPr>
      </w:pPr>
      <w:r>
        <w:rPr>
          <w:rFonts w:ascii="David" w:hAnsi="David"/>
          <w:b/>
          <w:bCs/>
          <w:rtl/>
        </w:rPr>
        <w:t>רקע והליכים משפטיים קודמים</w:t>
      </w:r>
    </w:p>
    <w:p w:rsidR="00C549E1" w:rsidRDefault="00C549E1" w:rsidP="00D5377E">
      <w:pPr>
        <w:spacing w:line="360" w:lineRule="auto"/>
        <w:jc w:val="both"/>
        <w:rPr>
          <w:rFonts w:ascii="David" w:hAnsi="David"/>
          <w:b/>
          <w:bCs/>
          <w:rtl/>
        </w:rPr>
      </w:pPr>
    </w:p>
    <w:p w:rsidR="00D5377E" w:rsidRDefault="00D5377E" w:rsidP="00C0724C">
      <w:pPr>
        <w:spacing w:line="360" w:lineRule="auto"/>
        <w:jc w:val="both"/>
        <w:rPr>
          <w:rFonts w:ascii="David" w:hAnsi="David"/>
          <w:rtl/>
        </w:rPr>
      </w:pPr>
      <w:r>
        <w:rPr>
          <w:rFonts w:ascii="David" w:hAnsi="David"/>
          <w:rtl/>
        </w:rPr>
        <w:t>הצדדים להליך הינם המבקשת, אשתו</w:t>
      </w:r>
      <w:r w:rsidR="00C0724C">
        <w:rPr>
          <w:rFonts w:ascii="David" w:hAnsi="David" w:hint="cs"/>
          <w:rtl/>
        </w:rPr>
        <w:t xml:space="preserve"> השנייה</w:t>
      </w:r>
      <w:r>
        <w:rPr>
          <w:rFonts w:ascii="David" w:hAnsi="David"/>
          <w:rtl/>
        </w:rPr>
        <w:t xml:space="preserve"> של המנוח</w:t>
      </w:r>
      <w:r w:rsidR="00C0724C">
        <w:rPr>
          <w:rFonts w:ascii="David" w:hAnsi="David" w:hint="cs"/>
          <w:rtl/>
        </w:rPr>
        <w:t xml:space="preserve">, גב' </w:t>
      </w:r>
      <w:r w:rsidR="000C62A1">
        <w:rPr>
          <w:rFonts w:ascii="David" w:hAnsi="David"/>
          <w:rtl/>
        </w:rPr>
        <w:t>...</w:t>
      </w:r>
      <w:r>
        <w:rPr>
          <w:rFonts w:ascii="David" w:hAnsi="David"/>
          <w:rtl/>
        </w:rPr>
        <w:t xml:space="preserve"> והמשיבים בניו של המנוח</w:t>
      </w:r>
      <w:r w:rsidR="00C0724C">
        <w:rPr>
          <w:rFonts w:ascii="David" w:hAnsi="David" w:hint="cs"/>
          <w:rtl/>
        </w:rPr>
        <w:t xml:space="preserve"> מנישואיו הראשונים, </w:t>
      </w:r>
      <w:r w:rsidR="000C62A1">
        <w:rPr>
          <w:rFonts w:ascii="David" w:hAnsi="David"/>
          <w:rtl/>
        </w:rPr>
        <w:t>...</w:t>
      </w:r>
      <w:r>
        <w:rPr>
          <w:rFonts w:ascii="David" w:hAnsi="David"/>
          <w:rtl/>
        </w:rPr>
        <w:t xml:space="preserve"> ו</w:t>
      </w:r>
      <w:r w:rsidR="000C62A1">
        <w:rPr>
          <w:rFonts w:ascii="David" w:hAnsi="David"/>
          <w:rtl/>
        </w:rPr>
        <w:t>...</w:t>
      </w:r>
      <w:r>
        <w:rPr>
          <w:rFonts w:ascii="David" w:hAnsi="David"/>
          <w:rtl/>
        </w:rPr>
        <w:t xml:space="preserve">. </w:t>
      </w:r>
    </w:p>
    <w:p w:rsidR="00C549E1" w:rsidRDefault="00C549E1" w:rsidP="00D5377E">
      <w:pPr>
        <w:spacing w:line="360" w:lineRule="auto"/>
        <w:jc w:val="both"/>
        <w:rPr>
          <w:rFonts w:ascii="David" w:hAnsi="David"/>
          <w:rtl/>
        </w:rPr>
      </w:pPr>
    </w:p>
    <w:p w:rsidR="00D5377E" w:rsidRDefault="00D5377E" w:rsidP="00D5377E">
      <w:pPr>
        <w:spacing w:line="360" w:lineRule="auto"/>
        <w:jc w:val="both"/>
        <w:rPr>
          <w:rFonts w:ascii="David" w:hAnsi="David"/>
          <w:rtl/>
        </w:rPr>
      </w:pPr>
      <w:r>
        <w:rPr>
          <w:rFonts w:ascii="David" w:hAnsi="David"/>
          <w:rtl/>
        </w:rPr>
        <w:t xml:space="preserve">המנוח, </w:t>
      </w:r>
      <w:r w:rsidR="000C62A1">
        <w:rPr>
          <w:rFonts w:ascii="David" w:hAnsi="David"/>
          <w:rtl/>
        </w:rPr>
        <w:t>...</w:t>
      </w:r>
      <w:r>
        <w:rPr>
          <w:rFonts w:ascii="David" w:hAnsi="David"/>
          <w:rtl/>
        </w:rPr>
        <w:t xml:space="preserve"> נפטר ב03/09/2015 לאחר 12 שנות זוגיות עם המבקשת.</w:t>
      </w:r>
    </w:p>
    <w:p w:rsidR="00C549E1" w:rsidRDefault="00C549E1" w:rsidP="00D5377E">
      <w:pPr>
        <w:spacing w:line="360" w:lineRule="auto"/>
        <w:jc w:val="both"/>
        <w:rPr>
          <w:rFonts w:ascii="David" w:hAnsi="David"/>
          <w:rtl/>
        </w:rPr>
      </w:pPr>
    </w:p>
    <w:p w:rsidR="00D5377E" w:rsidRDefault="00D5377E" w:rsidP="00D5377E">
      <w:pPr>
        <w:spacing w:line="360" w:lineRule="auto"/>
        <w:jc w:val="both"/>
        <w:rPr>
          <w:rFonts w:ascii="David" w:hAnsi="David"/>
          <w:rtl/>
        </w:rPr>
      </w:pPr>
      <w:r>
        <w:rPr>
          <w:rFonts w:ascii="David" w:hAnsi="David"/>
          <w:rtl/>
        </w:rPr>
        <w:t>בתאריך 02/12/15 נפתחו אצל רשם הירושה 2 בקשות לקיום צוואת המנוח:</w:t>
      </w:r>
    </w:p>
    <w:p w:rsidR="00C549E1" w:rsidRDefault="00C549E1" w:rsidP="00D5377E">
      <w:pPr>
        <w:spacing w:line="360" w:lineRule="auto"/>
        <w:jc w:val="both"/>
        <w:rPr>
          <w:rFonts w:ascii="David" w:hAnsi="David"/>
          <w:rtl/>
        </w:rPr>
      </w:pPr>
    </w:p>
    <w:p w:rsidR="00D5377E" w:rsidRDefault="00D5377E" w:rsidP="00D5377E">
      <w:pPr>
        <w:pStyle w:val="ad"/>
        <w:numPr>
          <w:ilvl w:val="0"/>
          <w:numId w:val="1"/>
        </w:numPr>
        <w:spacing w:line="360" w:lineRule="auto"/>
        <w:jc w:val="both"/>
        <w:rPr>
          <w:rFonts w:ascii="David" w:hAnsi="David" w:cs="David"/>
          <w:rtl/>
        </w:rPr>
      </w:pPr>
      <w:r>
        <w:rPr>
          <w:rFonts w:ascii="David" w:hAnsi="David" w:cs="David"/>
          <w:rtl/>
        </w:rPr>
        <w:t>מטעם הנתבעת לקיום צוואת המנוח מיום 17/08/97</w:t>
      </w:r>
    </w:p>
    <w:p w:rsidR="00D5377E" w:rsidRDefault="00D5377E" w:rsidP="00D5377E">
      <w:pPr>
        <w:pStyle w:val="ad"/>
        <w:numPr>
          <w:ilvl w:val="0"/>
          <w:numId w:val="1"/>
        </w:numPr>
        <w:spacing w:line="360" w:lineRule="auto"/>
        <w:jc w:val="both"/>
        <w:rPr>
          <w:rFonts w:ascii="David" w:hAnsi="David" w:cs="David"/>
        </w:rPr>
      </w:pPr>
      <w:r>
        <w:rPr>
          <w:rFonts w:ascii="David" w:hAnsi="David" w:cs="David"/>
          <w:rtl/>
        </w:rPr>
        <w:t>מטעם התובעים לקיום צוואה אחרונה שהותיר המנוח מיום 08/04/08</w:t>
      </w:r>
    </w:p>
    <w:p w:rsidR="00C549E1" w:rsidRDefault="00C549E1" w:rsidP="00C549E1">
      <w:pPr>
        <w:pStyle w:val="ad"/>
        <w:spacing w:line="360" w:lineRule="auto"/>
        <w:jc w:val="both"/>
        <w:rPr>
          <w:rFonts w:ascii="David" w:hAnsi="David" w:cs="David"/>
        </w:rPr>
      </w:pPr>
    </w:p>
    <w:p w:rsidR="00D5377E" w:rsidRDefault="00D5377E" w:rsidP="00D5377E">
      <w:pPr>
        <w:spacing w:line="360" w:lineRule="auto"/>
        <w:jc w:val="both"/>
        <w:rPr>
          <w:rFonts w:ascii="David" w:hAnsi="David"/>
          <w:rtl/>
        </w:rPr>
      </w:pPr>
      <w:r>
        <w:rPr>
          <w:rFonts w:ascii="David" w:hAnsi="David"/>
          <w:rtl/>
        </w:rPr>
        <w:t>בתאריך 13/01/2016 הומצא צו קיום הצוואה הראשונה (לפי בקשתה של הנתבעת) אך נכתב שאושרה הצוואה מתאריך 22/11/2015- מדובר בצו שגוי שכן אין ולא הייתה מעולם צוואה מתאריך זה. עם גילוי הטעות התובעים הגישו תביעה לביטול הצו.</w:t>
      </w:r>
    </w:p>
    <w:p w:rsidR="00C549E1" w:rsidRDefault="00C549E1" w:rsidP="00D5377E">
      <w:pPr>
        <w:spacing w:line="360" w:lineRule="auto"/>
        <w:jc w:val="both"/>
        <w:rPr>
          <w:rFonts w:ascii="David" w:hAnsi="David"/>
          <w:rtl/>
        </w:rPr>
      </w:pPr>
    </w:p>
    <w:p w:rsidR="00D5377E" w:rsidRDefault="00D5377E" w:rsidP="00C0724C">
      <w:pPr>
        <w:spacing w:line="360" w:lineRule="auto"/>
        <w:jc w:val="both"/>
        <w:rPr>
          <w:rFonts w:ascii="David" w:hAnsi="David"/>
          <w:rtl/>
        </w:rPr>
      </w:pPr>
      <w:r>
        <w:rPr>
          <w:rFonts w:ascii="David" w:hAnsi="David"/>
          <w:rtl/>
        </w:rPr>
        <w:t>בתאריך 14/14/2017 נ</w:t>
      </w:r>
      <w:r w:rsidR="00C0724C">
        <w:rPr>
          <w:rFonts w:ascii="David" w:hAnsi="David" w:hint="cs"/>
          <w:rtl/>
        </w:rPr>
        <w:t>יתן</w:t>
      </w:r>
      <w:r>
        <w:rPr>
          <w:rFonts w:ascii="David" w:hAnsi="David"/>
          <w:rtl/>
        </w:rPr>
        <w:t xml:space="preserve"> פסק דין לפיו הצו השגוי </w:t>
      </w:r>
      <w:r w:rsidR="00C0724C">
        <w:rPr>
          <w:rFonts w:ascii="David" w:hAnsi="David" w:hint="cs"/>
          <w:rtl/>
        </w:rPr>
        <w:t>מ</w:t>
      </w:r>
      <w:r>
        <w:rPr>
          <w:rFonts w:ascii="David" w:hAnsi="David"/>
          <w:rtl/>
        </w:rPr>
        <w:t>בוטל.</w:t>
      </w:r>
    </w:p>
    <w:p w:rsidR="00C549E1" w:rsidRDefault="00C549E1" w:rsidP="00D5377E">
      <w:pPr>
        <w:spacing w:line="360" w:lineRule="auto"/>
        <w:jc w:val="both"/>
        <w:rPr>
          <w:rFonts w:ascii="David" w:hAnsi="David"/>
          <w:rtl/>
        </w:rPr>
      </w:pPr>
    </w:p>
    <w:p w:rsidR="00D5377E" w:rsidRDefault="00D5377E" w:rsidP="00C0724C">
      <w:pPr>
        <w:spacing w:line="360" w:lineRule="auto"/>
        <w:jc w:val="both"/>
        <w:rPr>
          <w:rFonts w:ascii="David" w:hAnsi="David"/>
          <w:rtl/>
        </w:rPr>
      </w:pPr>
      <w:r>
        <w:rPr>
          <w:rFonts w:ascii="David" w:hAnsi="David"/>
          <w:rtl/>
        </w:rPr>
        <w:t>בתאריך 22/03/2020 נ</w:t>
      </w:r>
      <w:r w:rsidR="00C0724C">
        <w:rPr>
          <w:rFonts w:ascii="David" w:hAnsi="David" w:hint="cs"/>
          <w:rtl/>
        </w:rPr>
        <w:t>יתן</w:t>
      </w:r>
      <w:r>
        <w:rPr>
          <w:rFonts w:ascii="David" w:hAnsi="David"/>
          <w:rtl/>
        </w:rPr>
        <w:t xml:space="preserve"> פסק דין סופי לקיום צוואת המנוח האחרונה (בקשתם של התובעים).</w:t>
      </w:r>
    </w:p>
    <w:p w:rsidR="00D5377E" w:rsidRDefault="00D5377E" w:rsidP="00A248EE">
      <w:pPr>
        <w:spacing w:line="360" w:lineRule="auto"/>
        <w:jc w:val="both"/>
        <w:rPr>
          <w:rFonts w:ascii="David" w:hAnsi="David"/>
          <w:rtl/>
        </w:rPr>
      </w:pPr>
      <w:r>
        <w:rPr>
          <w:rFonts w:ascii="David" w:hAnsi="David"/>
          <w:rtl/>
        </w:rPr>
        <w:t>לפי הצוואה המבקשת והמשיבים הינם יורשי</w:t>
      </w:r>
      <w:r w:rsidR="00A248EE">
        <w:rPr>
          <w:rFonts w:ascii="David" w:hAnsi="David" w:hint="cs"/>
          <w:rtl/>
        </w:rPr>
        <w:t>ו</w:t>
      </w:r>
      <w:r>
        <w:rPr>
          <w:rFonts w:ascii="David" w:hAnsi="David"/>
          <w:rtl/>
        </w:rPr>
        <w:t xml:space="preserve"> של המנוח.</w:t>
      </w:r>
    </w:p>
    <w:p w:rsidR="00C549E1" w:rsidRDefault="00C549E1" w:rsidP="00D5377E">
      <w:pPr>
        <w:spacing w:line="360" w:lineRule="auto"/>
        <w:jc w:val="both"/>
        <w:rPr>
          <w:rFonts w:ascii="David" w:hAnsi="David"/>
          <w:rtl/>
        </w:rPr>
      </w:pPr>
    </w:p>
    <w:p w:rsidR="00D5377E" w:rsidRDefault="00D5377E" w:rsidP="00A248EE">
      <w:pPr>
        <w:spacing w:line="360" w:lineRule="auto"/>
        <w:jc w:val="both"/>
        <w:rPr>
          <w:rFonts w:ascii="David" w:hAnsi="David"/>
          <w:rtl/>
        </w:rPr>
      </w:pPr>
      <w:r>
        <w:rPr>
          <w:rFonts w:ascii="David" w:hAnsi="David"/>
          <w:rtl/>
        </w:rPr>
        <w:t>התובעים (המשיבים ב</w:t>
      </w:r>
      <w:r w:rsidR="00A248EE">
        <w:rPr>
          <w:rFonts w:ascii="David" w:hAnsi="David" w:hint="cs"/>
          <w:rtl/>
        </w:rPr>
        <w:t>בקשה</w:t>
      </w:r>
      <w:r>
        <w:rPr>
          <w:rFonts w:ascii="David" w:hAnsi="David"/>
          <w:rtl/>
        </w:rPr>
        <w:t xml:space="preserve"> ז</w:t>
      </w:r>
      <w:r w:rsidR="00A248EE">
        <w:rPr>
          <w:rFonts w:ascii="David" w:hAnsi="David" w:hint="cs"/>
          <w:rtl/>
        </w:rPr>
        <w:t>ו</w:t>
      </w:r>
      <w:r>
        <w:rPr>
          <w:rFonts w:ascii="David" w:hAnsi="David"/>
          <w:rtl/>
        </w:rPr>
        <w:t xml:space="preserve">) תובעים איזון משאבים בין המנוח לאשתו </w:t>
      </w:r>
      <w:r>
        <w:rPr>
          <w:rFonts w:ascii="David" w:hAnsi="David"/>
          <w:b/>
          <w:bCs/>
          <w:rtl/>
        </w:rPr>
        <w:t>בפרט זכויות סוציאליות</w:t>
      </w:r>
      <w:r>
        <w:rPr>
          <w:rFonts w:ascii="David" w:hAnsi="David"/>
          <w:rtl/>
        </w:rPr>
        <w:t>, הנתבעת</w:t>
      </w:r>
      <w:r w:rsidR="00A248EE">
        <w:rPr>
          <w:rFonts w:ascii="David" w:hAnsi="David" w:hint="cs"/>
          <w:rtl/>
        </w:rPr>
        <w:t xml:space="preserve"> (המבקשת בבקשה זו)</w:t>
      </w:r>
      <w:r>
        <w:rPr>
          <w:rFonts w:ascii="David" w:hAnsi="David"/>
          <w:rtl/>
        </w:rPr>
        <w:t xml:space="preserve"> עותרת לדחות את התביעה על הסף בטענת התיישנות, שכן </w:t>
      </w:r>
      <w:r w:rsidR="00A248EE">
        <w:rPr>
          <w:rFonts w:ascii="David" w:hAnsi="David" w:hint="cs"/>
          <w:rtl/>
        </w:rPr>
        <w:t xml:space="preserve">לטענתה </w:t>
      </w:r>
      <w:r>
        <w:rPr>
          <w:rFonts w:ascii="David" w:hAnsi="David"/>
          <w:rtl/>
        </w:rPr>
        <w:t>מרוץ ההתיישנות לתובענה לאיזון משאבים החל, לשיטתה, במועד פטירת המנוח (</w:t>
      </w:r>
      <w:r w:rsidR="00492E9C">
        <w:rPr>
          <w:rFonts w:ascii="David" w:hAnsi="David" w:hint="cs"/>
          <w:rtl/>
        </w:rPr>
        <w:t>3.9.2015</w:t>
      </w:r>
      <w:r>
        <w:rPr>
          <w:rFonts w:ascii="David" w:hAnsi="David"/>
          <w:rtl/>
        </w:rPr>
        <w:t>) ובחלוף 7 שנים מאז, התובענה התיישנה ב</w:t>
      </w:r>
      <w:r w:rsidR="00A248EE">
        <w:rPr>
          <w:rFonts w:ascii="David" w:hAnsi="David" w:hint="cs"/>
          <w:rtl/>
        </w:rPr>
        <w:t xml:space="preserve">יום </w:t>
      </w:r>
      <w:r>
        <w:rPr>
          <w:rFonts w:ascii="David" w:hAnsi="David"/>
          <w:rtl/>
        </w:rPr>
        <w:t>03/09/22 כשלושה חודשים טרם הגשת התביעה.</w:t>
      </w:r>
    </w:p>
    <w:p w:rsidR="00D5377E" w:rsidRDefault="00D5377E" w:rsidP="00D5377E">
      <w:pPr>
        <w:spacing w:line="360" w:lineRule="auto"/>
        <w:jc w:val="both"/>
        <w:rPr>
          <w:rFonts w:ascii="David" w:hAnsi="David"/>
          <w:rtl/>
        </w:rPr>
      </w:pPr>
    </w:p>
    <w:p w:rsidR="00D5377E" w:rsidRDefault="00D5377E" w:rsidP="00445CF1">
      <w:pPr>
        <w:spacing w:line="360" w:lineRule="auto"/>
        <w:jc w:val="both"/>
        <w:rPr>
          <w:rFonts w:ascii="David" w:hAnsi="David"/>
          <w:b/>
          <w:bCs/>
          <w:rtl/>
        </w:rPr>
      </w:pPr>
      <w:r>
        <w:rPr>
          <w:rFonts w:ascii="David" w:hAnsi="David"/>
          <w:b/>
          <w:bCs/>
          <w:rtl/>
        </w:rPr>
        <w:t>טענת ה</w:t>
      </w:r>
      <w:r w:rsidR="00445CF1">
        <w:rPr>
          <w:rFonts w:ascii="David" w:hAnsi="David" w:hint="cs"/>
          <w:b/>
          <w:bCs/>
          <w:rtl/>
        </w:rPr>
        <w:t xml:space="preserve">צדדים בתמצית </w:t>
      </w:r>
    </w:p>
    <w:p w:rsidR="00D5377E" w:rsidRDefault="00D5377E" w:rsidP="00D5377E">
      <w:pPr>
        <w:spacing w:line="360" w:lineRule="auto"/>
        <w:jc w:val="both"/>
        <w:rPr>
          <w:rFonts w:ascii="David" w:hAnsi="David"/>
          <w:b/>
          <w:bCs/>
          <w:rtl/>
        </w:rPr>
      </w:pPr>
    </w:p>
    <w:p w:rsidR="00D5377E" w:rsidRDefault="00D5377E" w:rsidP="00A248EE">
      <w:pPr>
        <w:pStyle w:val="ad"/>
        <w:numPr>
          <w:ilvl w:val="0"/>
          <w:numId w:val="2"/>
        </w:numPr>
        <w:spacing w:line="360" w:lineRule="auto"/>
        <w:jc w:val="both"/>
        <w:rPr>
          <w:rFonts w:ascii="David" w:hAnsi="David" w:cs="David"/>
        </w:rPr>
      </w:pPr>
      <w:r>
        <w:rPr>
          <w:rFonts w:ascii="David" w:hAnsi="David" w:cs="David"/>
          <w:rtl/>
        </w:rPr>
        <w:t>מרגע פטירת המנוח טרם הוגדרו התובעים כיורשים בעקבות טעות שהייתה בצו הירושה ועל כן לא היו בעלי מעמד לנקוט בהליך משפטי בשם המנוח עד לביטול צו הצוואה השגוי. העובדה שהם בניו של המנוח לא הופכת אותם אוטומטית להיות יורשי המנוח</w:t>
      </w:r>
      <w:r w:rsidR="00BC3A39">
        <w:rPr>
          <w:rFonts w:ascii="David" w:hAnsi="David" w:cs="David" w:hint="cs"/>
          <w:rtl/>
        </w:rPr>
        <w:t>. התובעים מפנים לעניין זה ל</w:t>
      </w:r>
      <w:r>
        <w:rPr>
          <w:rFonts w:ascii="David" w:hAnsi="David" w:cs="David"/>
          <w:rtl/>
        </w:rPr>
        <w:t xml:space="preserve">פס״ד 48699-12-15 </w:t>
      </w:r>
      <w:proofErr w:type="spellStart"/>
      <w:r>
        <w:rPr>
          <w:rFonts w:ascii="David" w:hAnsi="David" w:cs="David"/>
          <w:b/>
          <w:bCs/>
          <w:rtl/>
        </w:rPr>
        <w:t>חייאן</w:t>
      </w:r>
      <w:proofErr w:type="spellEnd"/>
      <w:r>
        <w:rPr>
          <w:rFonts w:ascii="David" w:hAnsi="David" w:cs="David"/>
          <w:b/>
          <w:bCs/>
          <w:rtl/>
        </w:rPr>
        <w:t xml:space="preserve"> נ׳ עזבון המנוחה </w:t>
      </w:r>
      <w:proofErr w:type="spellStart"/>
      <w:r>
        <w:rPr>
          <w:rFonts w:ascii="David" w:hAnsi="David" w:cs="David"/>
          <w:b/>
          <w:bCs/>
          <w:rtl/>
        </w:rPr>
        <w:t>גאנם</w:t>
      </w:r>
      <w:proofErr w:type="spellEnd"/>
      <w:r>
        <w:rPr>
          <w:rFonts w:ascii="David" w:hAnsi="David" w:cs="David"/>
          <w:b/>
          <w:bCs/>
          <w:rtl/>
        </w:rPr>
        <w:t xml:space="preserve"> </w:t>
      </w:r>
      <w:proofErr w:type="spellStart"/>
      <w:r>
        <w:rPr>
          <w:rFonts w:ascii="David" w:hAnsi="David" w:cs="David"/>
          <w:b/>
          <w:bCs/>
          <w:rtl/>
        </w:rPr>
        <w:t>פאטמה</w:t>
      </w:r>
      <w:proofErr w:type="spellEnd"/>
      <w:r w:rsidR="00BC3A39">
        <w:rPr>
          <w:rFonts w:ascii="David" w:hAnsi="David" w:cs="David"/>
          <w:rtl/>
        </w:rPr>
        <w:t xml:space="preserve"> 18.11.16 פסקה 17</w:t>
      </w:r>
      <w:r w:rsidR="00BC3A39">
        <w:rPr>
          <w:rFonts w:ascii="David" w:hAnsi="David" w:cs="David" w:hint="cs"/>
          <w:rtl/>
        </w:rPr>
        <w:t xml:space="preserve"> ו</w:t>
      </w:r>
      <w:r>
        <w:rPr>
          <w:rFonts w:ascii="David" w:hAnsi="David" w:cs="David"/>
          <w:rtl/>
        </w:rPr>
        <w:t>טוענים שאם היו מגישים תביעה לפני ש</w:t>
      </w:r>
      <w:r w:rsidR="00A248EE">
        <w:rPr>
          <w:rFonts w:ascii="David" w:hAnsi="David" w:cs="David" w:hint="cs"/>
          <w:rtl/>
        </w:rPr>
        <w:t>נקבעו</w:t>
      </w:r>
      <w:r>
        <w:rPr>
          <w:rFonts w:ascii="David" w:hAnsi="David" w:cs="David"/>
          <w:rtl/>
        </w:rPr>
        <w:t xml:space="preserve"> כיורשים התביעה הייתה נדחית על הסף.</w:t>
      </w:r>
    </w:p>
    <w:p w:rsidR="00C549E1" w:rsidRDefault="00C549E1" w:rsidP="00C549E1">
      <w:pPr>
        <w:pStyle w:val="ad"/>
        <w:spacing w:line="360" w:lineRule="auto"/>
        <w:ind w:left="643"/>
        <w:jc w:val="both"/>
        <w:rPr>
          <w:rFonts w:ascii="David" w:hAnsi="David" w:cs="David"/>
          <w:rtl/>
        </w:rPr>
      </w:pPr>
    </w:p>
    <w:p w:rsidR="00D5377E" w:rsidRDefault="00D5377E" w:rsidP="00C549E1">
      <w:pPr>
        <w:pStyle w:val="ad"/>
        <w:numPr>
          <w:ilvl w:val="0"/>
          <w:numId w:val="2"/>
        </w:numPr>
        <w:spacing w:line="360" w:lineRule="auto"/>
        <w:jc w:val="both"/>
        <w:rPr>
          <w:rFonts w:ascii="David" w:hAnsi="David" w:cs="David"/>
          <w:b/>
          <w:bCs/>
        </w:rPr>
      </w:pPr>
      <w:r>
        <w:rPr>
          <w:rFonts w:ascii="David" w:hAnsi="David" w:cs="David"/>
          <w:rtl/>
        </w:rPr>
        <w:t>ל</w:t>
      </w:r>
      <w:r w:rsidR="00C549E1">
        <w:rPr>
          <w:rFonts w:ascii="David" w:hAnsi="David" w:cs="David" w:hint="cs"/>
          <w:rtl/>
        </w:rPr>
        <w:t>פיכך, לטענת התובעים,</w:t>
      </w:r>
      <w:r>
        <w:rPr>
          <w:rFonts w:ascii="David" w:hAnsi="David" w:cs="David"/>
          <w:rtl/>
        </w:rPr>
        <w:t xml:space="preserve"> בכל דרך בה </w:t>
      </w:r>
      <w:r w:rsidR="00C549E1">
        <w:rPr>
          <w:rFonts w:ascii="David" w:hAnsi="David" w:cs="David" w:hint="cs"/>
          <w:rtl/>
        </w:rPr>
        <w:t>יי</w:t>
      </w:r>
      <w:r>
        <w:rPr>
          <w:rFonts w:ascii="David" w:hAnsi="David" w:cs="David"/>
          <w:rtl/>
        </w:rPr>
        <w:t>בח</w:t>
      </w:r>
      <w:r w:rsidR="00C549E1">
        <w:rPr>
          <w:rFonts w:ascii="David" w:hAnsi="David" w:cs="David" w:hint="cs"/>
          <w:rtl/>
        </w:rPr>
        <w:t>נו הדברים,</w:t>
      </w:r>
      <w:r>
        <w:rPr>
          <w:rFonts w:ascii="David" w:hAnsi="David" w:cs="David"/>
          <w:rtl/>
        </w:rPr>
        <w:t xml:space="preserve"> התובענה הוגשה בתוך תקופת ההתיישנות: </w:t>
      </w:r>
    </w:p>
    <w:p w:rsidR="00C549E1" w:rsidRPr="00C549E1" w:rsidRDefault="00C549E1" w:rsidP="00C549E1">
      <w:pPr>
        <w:pStyle w:val="ad"/>
        <w:rPr>
          <w:rFonts w:ascii="David" w:hAnsi="David" w:cs="David"/>
          <w:b/>
          <w:bCs/>
          <w:rtl/>
        </w:rPr>
      </w:pPr>
    </w:p>
    <w:p w:rsidR="00D5377E" w:rsidRPr="00271162" w:rsidRDefault="00D5377E" w:rsidP="00C549E1">
      <w:pPr>
        <w:pStyle w:val="ad"/>
        <w:numPr>
          <w:ilvl w:val="0"/>
          <w:numId w:val="5"/>
        </w:numPr>
        <w:spacing w:line="360" w:lineRule="auto"/>
        <w:jc w:val="both"/>
        <w:rPr>
          <w:rFonts w:ascii="David" w:hAnsi="David" w:cs="David"/>
        </w:rPr>
      </w:pPr>
      <w:r w:rsidRPr="00271162">
        <w:rPr>
          <w:rFonts w:ascii="David" w:hAnsi="David" w:cs="David"/>
          <w:rtl/>
        </w:rPr>
        <w:t xml:space="preserve">אם </w:t>
      </w:r>
      <w:r w:rsidR="00C549E1" w:rsidRPr="00271162">
        <w:rPr>
          <w:rFonts w:ascii="David" w:hAnsi="David" w:cs="David"/>
          <w:rtl/>
        </w:rPr>
        <w:t>י</w:t>
      </w:r>
      <w:r w:rsidRPr="00271162">
        <w:rPr>
          <w:rFonts w:ascii="David" w:hAnsi="David" w:cs="David"/>
          <w:rtl/>
        </w:rPr>
        <w:t>טען כי ״יורש פוטנציאלי״ זכאי להגיש תביעה בשם המוריש- אזי מרוץ ההתיישנות החל להימנות רק ממועד ביטול הצו השגוי (14/11/17).</w:t>
      </w:r>
    </w:p>
    <w:p w:rsidR="00C549E1" w:rsidRPr="00271162" w:rsidRDefault="00C549E1" w:rsidP="00C549E1">
      <w:pPr>
        <w:pStyle w:val="ad"/>
        <w:spacing w:line="360" w:lineRule="auto"/>
        <w:ind w:left="1440"/>
        <w:jc w:val="both"/>
        <w:rPr>
          <w:rFonts w:ascii="David" w:hAnsi="David" w:cs="David"/>
        </w:rPr>
      </w:pPr>
    </w:p>
    <w:p w:rsidR="00D5377E" w:rsidRPr="00271162" w:rsidRDefault="00D5377E" w:rsidP="00271162">
      <w:pPr>
        <w:pStyle w:val="ad"/>
        <w:numPr>
          <w:ilvl w:val="0"/>
          <w:numId w:val="5"/>
        </w:numPr>
        <w:spacing w:line="360" w:lineRule="auto"/>
        <w:jc w:val="both"/>
        <w:rPr>
          <w:rFonts w:ascii="David" w:hAnsi="David" w:cs="David"/>
        </w:rPr>
      </w:pPr>
      <w:r w:rsidRPr="00271162">
        <w:rPr>
          <w:rFonts w:ascii="David" w:hAnsi="David" w:cs="David"/>
          <w:rtl/>
        </w:rPr>
        <w:t xml:space="preserve">אם </w:t>
      </w:r>
      <w:r w:rsidR="00C549E1" w:rsidRPr="00271162">
        <w:rPr>
          <w:rFonts w:ascii="David" w:hAnsi="David" w:cs="David"/>
          <w:rtl/>
        </w:rPr>
        <w:t>י</w:t>
      </w:r>
      <w:r w:rsidRPr="00271162">
        <w:rPr>
          <w:rFonts w:ascii="David" w:hAnsi="David" w:cs="David"/>
          <w:rtl/>
        </w:rPr>
        <w:t xml:space="preserve">טען כי יורש פוטנציאלי אינו זכאי להגיש תביעה בשם המוריש עד להכרזתו כיורש- אזי מרוץ ההתיישנות מתחיל רק במועד בו נפסק סופי לקיום הצוואה (22/03/20). </w:t>
      </w:r>
    </w:p>
    <w:p w:rsidR="00C549E1" w:rsidRPr="00271162" w:rsidRDefault="00C549E1" w:rsidP="00C549E1">
      <w:pPr>
        <w:pStyle w:val="ad"/>
        <w:rPr>
          <w:rFonts w:ascii="David" w:hAnsi="David" w:cs="David"/>
          <w:rtl/>
        </w:rPr>
      </w:pPr>
    </w:p>
    <w:p w:rsidR="00D5377E" w:rsidRPr="00271162" w:rsidRDefault="00D5377E" w:rsidP="00271162">
      <w:pPr>
        <w:pStyle w:val="ad"/>
        <w:numPr>
          <w:ilvl w:val="0"/>
          <w:numId w:val="5"/>
        </w:numPr>
        <w:spacing w:line="360" w:lineRule="auto"/>
        <w:jc w:val="both"/>
        <w:rPr>
          <w:rFonts w:ascii="David" w:hAnsi="David" w:cs="David"/>
        </w:rPr>
      </w:pPr>
      <w:r w:rsidRPr="00271162">
        <w:rPr>
          <w:rFonts w:ascii="David" w:hAnsi="David" w:cs="David"/>
          <w:rtl/>
        </w:rPr>
        <w:t xml:space="preserve">בעת מתן צו הצוואה השגוי, גם אם </w:t>
      </w:r>
      <w:r w:rsidR="00C549E1" w:rsidRPr="00271162">
        <w:rPr>
          <w:rFonts w:ascii="David" w:hAnsi="David" w:cs="David"/>
          <w:rtl/>
        </w:rPr>
        <w:t>יו</w:t>
      </w:r>
      <w:r w:rsidRPr="00271162">
        <w:rPr>
          <w:rFonts w:ascii="David" w:hAnsi="David" w:cs="David"/>
          <w:rtl/>
        </w:rPr>
        <w:t>גדר</w:t>
      </w:r>
      <w:r w:rsidR="00C549E1" w:rsidRPr="00271162">
        <w:rPr>
          <w:rFonts w:ascii="David" w:hAnsi="David" w:cs="David"/>
          <w:rtl/>
        </w:rPr>
        <w:t>ו</w:t>
      </w:r>
      <w:r w:rsidRPr="00271162">
        <w:rPr>
          <w:rFonts w:ascii="David" w:hAnsi="David" w:cs="David"/>
          <w:rtl/>
        </w:rPr>
        <w:t xml:space="preserve"> התובעים כיורשים פוטנציאלים, </w:t>
      </w:r>
      <w:r w:rsidR="00C549E1" w:rsidRPr="00271162">
        <w:rPr>
          <w:rFonts w:ascii="David" w:hAnsi="David" w:cs="David"/>
          <w:rtl/>
        </w:rPr>
        <w:t>הרי ש</w:t>
      </w:r>
      <w:r w:rsidRPr="00271162">
        <w:rPr>
          <w:rFonts w:ascii="David" w:hAnsi="David" w:cs="David"/>
          <w:rtl/>
        </w:rPr>
        <w:t>לפי הצוואה הראשונה הם ירשו רק שליש חשבון בנק של המנוח שהיה נפרד מאשת המנוח ולכן גם אז לא היו בעלי מעמד לתביעה בשם המנוח.</w:t>
      </w:r>
    </w:p>
    <w:p w:rsidR="00C549E1" w:rsidRPr="00C549E1" w:rsidRDefault="00C549E1" w:rsidP="00C549E1">
      <w:pPr>
        <w:pStyle w:val="ad"/>
        <w:rPr>
          <w:rFonts w:ascii="David" w:hAnsi="David" w:cs="David"/>
          <w:rtl/>
        </w:rPr>
      </w:pPr>
    </w:p>
    <w:p w:rsidR="00D5377E" w:rsidRDefault="00D5377E" w:rsidP="00A248EE">
      <w:pPr>
        <w:pStyle w:val="ad"/>
        <w:numPr>
          <w:ilvl w:val="0"/>
          <w:numId w:val="2"/>
        </w:numPr>
        <w:spacing w:line="360" w:lineRule="auto"/>
        <w:jc w:val="both"/>
        <w:rPr>
          <w:rFonts w:ascii="David" w:hAnsi="David" w:cs="David"/>
        </w:rPr>
      </w:pPr>
      <w:r>
        <w:rPr>
          <w:rFonts w:ascii="David" w:hAnsi="David" w:cs="David"/>
          <w:rtl/>
        </w:rPr>
        <w:lastRenderedPageBreak/>
        <w:t xml:space="preserve">הנתבעת טוענת כי טענות התובעים שלא היו </w:t>
      </w:r>
      <w:r w:rsidR="00AF7595">
        <w:rPr>
          <w:rFonts w:ascii="David" w:hAnsi="David" w:cs="David" w:hint="cs"/>
          <w:rtl/>
        </w:rPr>
        <w:t xml:space="preserve">לכאורה </w:t>
      </w:r>
      <w:r>
        <w:rPr>
          <w:rFonts w:ascii="David" w:hAnsi="David" w:cs="David"/>
          <w:rtl/>
        </w:rPr>
        <w:t>בעלי מעמד משפטי</w:t>
      </w:r>
      <w:r w:rsidR="00A248EE">
        <w:rPr>
          <w:rFonts w:ascii="David" w:hAnsi="David" w:cs="David" w:hint="cs"/>
          <w:rtl/>
        </w:rPr>
        <w:t xml:space="preserve"> להגשת התביעה</w:t>
      </w:r>
      <w:r>
        <w:rPr>
          <w:rFonts w:ascii="David" w:hAnsi="David" w:cs="David"/>
          <w:rtl/>
        </w:rPr>
        <w:t>, סותר</w:t>
      </w:r>
      <w:r w:rsidR="00271162">
        <w:rPr>
          <w:rFonts w:ascii="David" w:hAnsi="David" w:cs="David" w:hint="cs"/>
          <w:rtl/>
        </w:rPr>
        <w:t>ות</w:t>
      </w:r>
      <w:r>
        <w:rPr>
          <w:rFonts w:ascii="David" w:hAnsi="David" w:cs="David"/>
          <w:rtl/>
        </w:rPr>
        <w:t xml:space="preserve"> את העובדה ש</w:t>
      </w:r>
      <w:r w:rsidR="00BC3A39">
        <w:rPr>
          <w:rFonts w:ascii="David" w:hAnsi="David" w:cs="David" w:hint="cs"/>
          <w:rtl/>
        </w:rPr>
        <w:t xml:space="preserve">חרף טענות אלו הם כן </w:t>
      </w:r>
      <w:r>
        <w:rPr>
          <w:rFonts w:ascii="David" w:hAnsi="David" w:cs="David"/>
          <w:rtl/>
        </w:rPr>
        <w:t>הגישו תביעות אחרות (תביעה על זכות המנוח בדירה שרשומה על שם הנתבעת) בזמן שטרם הוגדרו כיורשים לטענתם</w:t>
      </w:r>
      <w:r w:rsidR="00A248EE">
        <w:rPr>
          <w:rFonts w:ascii="David" w:hAnsi="David" w:cs="David" w:hint="cs"/>
          <w:rtl/>
        </w:rPr>
        <w:t>.</w:t>
      </w:r>
      <w:r w:rsidR="00BC3A39">
        <w:rPr>
          <w:rFonts w:ascii="David" w:hAnsi="David" w:cs="David" w:hint="cs"/>
          <w:rtl/>
        </w:rPr>
        <w:t xml:space="preserve"> משמע, </w:t>
      </w:r>
      <w:r w:rsidR="00445CF1">
        <w:rPr>
          <w:rFonts w:ascii="David" w:hAnsi="David" w:cs="David" w:hint="cs"/>
          <w:rtl/>
        </w:rPr>
        <w:t xml:space="preserve">התובעים </w:t>
      </w:r>
      <w:r w:rsidR="00BC3A39">
        <w:rPr>
          <w:rFonts w:ascii="David" w:hAnsi="David" w:cs="David" w:hint="cs"/>
          <w:rtl/>
        </w:rPr>
        <w:t>לא סברו שאי הגדרתם כיורשים מונעת מהם את היכולת והמעמד המשפטי להגיש תביעות בשם המנוח/עזבונו</w:t>
      </w:r>
      <w:r>
        <w:rPr>
          <w:rFonts w:ascii="David" w:hAnsi="David" w:cs="David"/>
          <w:rtl/>
        </w:rPr>
        <w:t xml:space="preserve">. </w:t>
      </w:r>
      <w:r w:rsidR="00271162">
        <w:rPr>
          <w:rFonts w:ascii="David" w:hAnsi="David" w:cs="David" w:hint="cs"/>
          <w:rtl/>
        </w:rPr>
        <w:t xml:space="preserve">במענה </w:t>
      </w:r>
      <w:r>
        <w:rPr>
          <w:rFonts w:ascii="David" w:hAnsi="David" w:cs="David"/>
          <w:rtl/>
        </w:rPr>
        <w:t>לטענה זו מחדדים התובעים כי אותה תביעה הוגשה רק לאחר שבוטל הצו השגוי, לכן כן הוגדרו כיורשים</w:t>
      </w:r>
      <w:r w:rsidR="00BC3A39">
        <w:rPr>
          <w:rFonts w:ascii="David" w:hAnsi="David" w:cs="David" w:hint="cs"/>
          <w:rtl/>
        </w:rPr>
        <w:t xml:space="preserve"> בעת הגשת התביעה אליה מפנה הנתבעת</w:t>
      </w:r>
      <w:r>
        <w:rPr>
          <w:rFonts w:ascii="David" w:hAnsi="David" w:cs="David"/>
          <w:rtl/>
        </w:rPr>
        <w:t>.</w:t>
      </w:r>
    </w:p>
    <w:p w:rsidR="00271162" w:rsidRDefault="00271162" w:rsidP="00271162">
      <w:pPr>
        <w:pStyle w:val="ad"/>
        <w:spacing w:line="360" w:lineRule="auto"/>
        <w:ind w:left="643"/>
        <w:jc w:val="both"/>
        <w:rPr>
          <w:rFonts w:ascii="David" w:hAnsi="David" w:cs="David"/>
        </w:rPr>
      </w:pPr>
    </w:p>
    <w:p w:rsidR="00D5377E" w:rsidRDefault="00445CF1" w:rsidP="00271162">
      <w:pPr>
        <w:pStyle w:val="ad"/>
        <w:numPr>
          <w:ilvl w:val="0"/>
          <w:numId w:val="2"/>
        </w:numPr>
        <w:spacing w:line="360" w:lineRule="auto"/>
        <w:jc w:val="both"/>
        <w:rPr>
          <w:rFonts w:ascii="David" w:hAnsi="David" w:cs="David"/>
        </w:rPr>
      </w:pPr>
      <w:r>
        <w:rPr>
          <w:rFonts w:ascii="David" w:hAnsi="David" w:cs="David" w:hint="cs"/>
          <w:rtl/>
        </w:rPr>
        <w:t xml:space="preserve">לטענת התובעים, </w:t>
      </w:r>
      <w:r w:rsidR="00D5377E">
        <w:rPr>
          <w:rFonts w:ascii="David" w:hAnsi="David" w:cs="David"/>
          <w:rtl/>
        </w:rPr>
        <w:t xml:space="preserve">מועד עילת התביעה הנ״ל הוא מועד פרישת הנתבעת לגמלאות. בהינתן העובדה שהנתבעת פרשה לגמלאות באופן סופי, בשנתיים האחרונות, רק עם פרישתה וקבלת הפנסיה בשלה עילת תביעה. לפיכך, זכויות עתידיות אינן מתיישנות אלא בחלוף שבע שנים מתשלומן בפועל וזאת </w:t>
      </w:r>
      <w:r w:rsidR="00271162">
        <w:rPr>
          <w:rFonts w:ascii="David" w:hAnsi="David" w:cs="David" w:hint="cs"/>
          <w:rtl/>
        </w:rPr>
        <w:t xml:space="preserve">בהתבסס </w:t>
      </w:r>
      <w:r w:rsidR="00D5377E">
        <w:rPr>
          <w:rFonts w:ascii="David" w:hAnsi="David" w:cs="David"/>
          <w:rtl/>
        </w:rPr>
        <w:t xml:space="preserve">על קביעת בימ״ש מחזוי בירושלים (בע״מ 222/08 </w:t>
      </w:r>
      <w:r w:rsidR="00D5377E">
        <w:rPr>
          <w:rFonts w:ascii="David" w:hAnsi="David" w:cs="David"/>
          <w:b/>
          <w:bCs/>
          <w:rtl/>
        </w:rPr>
        <w:t>ש.א נ׳ ש.ד</w:t>
      </w:r>
      <w:r w:rsidR="00D5377E">
        <w:rPr>
          <w:rFonts w:ascii="David" w:hAnsi="David" w:cs="David"/>
          <w:rtl/>
        </w:rPr>
        <w:t xml:space="preserve">, נבו, 2.2.10 פסקאות 294,296,311) </w:t>
      </w:r>
      <w:r w:rsidR="00271162">
        <w:rPr>
          <w:rFonts w:ascii="David" w:hAnsi="David" w:cs="David" w:hint="cs"/>
          <w:rtl/>
        </w:rPr>
        <w:t>שם נ</w:t>
      </w:r>
      <w:r w:rsidR="00D5377E">
        <w:rPr>
          <w:rFonts w:ascii="David" w:hAnsi="David" w:cs="David"/>
          <w:rtl/>
        </w:rPr>
        <w:t xml:space="preserve">קבע כי המועד הקובע לתחילת מרוץ ההתיישנות הוא רגע קבלת הפנסיה החודשית בידי בן הזוג הפנסיונר, יום התשלום בפועל. וכן </w:t>
      </w:r>
      <w:r w:rsidR="00271162">
        <w:rPr>
          <w:rFonts w:ascii="David" w:hAnsi="David" w:cs="David" w:hint="cs"/>
          <w:rtl/>
        </w:rPr>
        <w:t>מפנים ל</w:t>
      </w:r>
      <w:r w:rsidR="00D5377E">
        <w:rPr>
          <w:rFonts w:ascii="David" w:hAnsi="David" w:cs="David"/>
          <w:rtl/>
        </w:rPr>
        <w:t>פסיקות נוספות בנושא.</w:t>
      </w:r>
    </w:p>
    <w:p w:rsidR="00271162" w:rsidRPr="00271162" w:rsidRDefault="00271162" w:rsidP="00271162">
      <w:pPr>
        <w:pStyle w:val="ad"/>
        <w:rPr>
          <w:rFonts w:ascii="David" w:hAnsi="David" w:cs="David"/>
          <w:rtl/>
        </w:rPr>
      </w:pPr>
    </w:p>
    <w:p w:rsidR="00D5377E" w:rsidRDefault="00445CF1" w:rsidP="00AF7595">
      <w:pPr>
        <w:pStyle w:val="ad"/>
        <w:spacing w:line="360" w:lineRule="auto"/>
        <w:ind w:left="643"/>
        <w:jc w:val="both"/>
        <w:rPr>
          <w:rFonts w:ascii="David" w:hAnsi="David" w:cs="David"/>
          <w:rtl/>
        </w:rPr>
      </w:pPr>
      <w:r>
        <w:rPr>
          <w:rFonts w:ascii="David" w:hAnsi="David" w:cs="David" w:hint="cs"/>
          <w:rtl/>
        </w:rPr>
        <w:t xml:space="preserve">לטענתם, </w:t>
      </w:r>
      <w:r w:rsidR="00D5377E">
        <w:rPr>
          <w:rFonts w:ascii="David" w:hAnsi="David" w:cs="David"/>
          <w:rtl/>
        </w:rPr>
        <w:t xml:space="preserve">תקופת התיישנות מתחילה ביום שבו </w:t>
      </w:r>
      <w:r w:rsidR="00AF7595">
        <w:rPr>
          <w:rFonts w:ascii="David" w:hAnsi="David" w:cs="David" w:hint="cs"/>
          <w:rtl/>
        </w:rPr>
        <w:t>הבשילה</w:t>
      </w:r>
      <w:r w:rsidR="00D5377E">
        <w:rPr>
          <w:rFonts w:ascii="David" w:hAnsi="David" w:cs="David"/>
          <w:rtl/>
        </w:rPr>
        <w:t xml:space="preserve"> עילת תביעה ומתגבשות </w:t>
      </w:r>
      <w:r w:rsidR="00AF7595">
        <w:rPr>
          <w:rFonts w:ascii="David" w:hAnsi="David" w:cs="David" w:hint="cs"/>
          <w:rtl/>
        </w:rPr>
        <w:t>ה</w:t>
      </w:r>
      <w:r w:rsidR="00D5377E">
        <w:rPr>
          <w:rFonts w:ascii="David" w:hAnsi="David" w:cs="David"/>
          <w:rtl/>
        </w:rPr>
        <w:t xml:space="preserve">עובדות </w:t>
      </w:r>
      <w:r w:rsidR="00AF7595">
        <w:rPr>
          <w:rFonts w:ascii="David" w:hAnsi="David" w:cs="David" w:hint="cs"/>
          <w:rtl/>
        </w:rPr>
        <w:t>ה</w:t>
      </w:r>
      <w:r w:rsidR="00D5377E">
        <w:rPr>
          <w:rFonts w:ascii="David" w:hAnsi="David" w:cs="David"/>
          <w:rtl/>
        </w:rPr>
        <w:t>מהותיות.</w:t>
      </w:r>
    </w:p>
    <w:p w:rsidR="00271162" w:rsidRDefault="00271162" w:rsidP="00D5377E">
      <w:pPr>
        <w:pStyle w:val="ad"/>
        <w:spacing w:line="360" w:lineRule="auto"/>
        <w:ind w:left="643"/>
        <w:jc w:val="both"/>
        <w:rPr>
          <w:rFonts w:ascii="David" w:hAnsi="David" w:cs="David"/>
        </w:rPr>
      </w:pPr>
    </w:p>
    <w:p w:rsidR="00D5377E" w:rsidRPr="00AF7595" w:rsidRDefault="00D5377E" w:rsidP="00271162">
      <w:pPr>
        <w:pStyle w:val="ad"/>
        <w:numPr>
          <w:ilvl w:val="0"/>
          <w:numId w:val="2"/>
        </w:numPr>
        <w:spacing w:line="360" w:lineRule="auto"/>
        <w:jc w:val="both"/>
        <w:rPr>
          <w:rFonts w:ascii="David" w:hAnsi="David" w:cs="David"/>
        </w:rPr>
      </w:pPr>
      <w:r w:rsidRPr="00AF7595">
        <w:rPr>
          <w:rFonts w:ascii="David" w:hAnsi="David" w:cs="David"/>
          <w:rtl/>
        </w:rPr>
        <w:t xml:space="preserve">לטענת הנתבעת ליורשים אין זכאות, גם בנעלי המנוח, כלפי קרן הפנסיה של הנתבעת. </w:t>
      </w:r>
      <w:r w:rsidR="00AF7595">
        <w:rPr>
          <w:rFonts w:ascii="David" w:hAnsi="David" w:cs="David" w:hint="cs"/>
          <w:rtl/>
        </w:rPr>
        <w:t xml:space="preserve">לכך משיבים התובעים כי </w:t>
      </w:r>
      <w:r w:rsidRPr="00AF7595">
        <w:rPr>
          <w:rFonts w:ascii="David" w:hAnsi="David" w:cs="David"/>
          <w:rtl/>
        </w:rPr>
        <w:t>הזכות לקבל את חלק</w:t>
      </w:r>
      <w:r w:rsidR="00271162" w:rsidRPr="00AF7595">
        <w:rPr>
          <w:rFonts w:ascii="David" w:hAnsi="David" w:cs="David" w:hint="cs"/>
          <w:rtl/>
        </w:rPr>
        <w:t>ו</w:t>
      </w:r>
      <w:r w:rsidRPr="00AF7595">
        <w:rPr>
          <w:rFonts w:ascii="David" w:hAnsi="David" w:cs="David"/>
          <w:rtl/>
        </w:rPr>
        <w:t xml:space="preserve"> של המנוח בפנסיה אינה זכות אישית שפוקעת עם פטירת המנוח, אלא זכות העוברת ליורשיו בהתאם לס׳ 5(ב) לחוק יחסי ממון, וגם בהתאם לחוק הירושה וחוק חלוקת חיסכון פנסיוני בין בני זוג שנפרדו התשע״ד-2014. </w:t>
      </w:r>
    </w:p>
    <w:p w:rsidR="00271162" w:rsidRDefault="00271162" w:rsidP="00271162">
      <w:pPr>
        <w:pStyle w:val="ad"/>
        <w:spacing w:line="360" w:lineRule="auto"/>
        <w:ind w:left="643"/>
        <w:jc w:val="both"/>
        <w:rPr>
          <w:rFonts w:ascii="David" w:hAnsi="David" w:cs="David"/>
          <w:rtl/>
        </w:rPr>
      </w:pPr>
    </w:p>
    <w:p w:rsidR="00D5377E" w:rsidRPr="00AF7595" w:rsidRDefault="00445CF1" w:rsidP="00445CF1">
      <w:pPr>
        <w:pStyle w:val="ad"/>
        <w:numPr>
          <w:ilvl w:val="0"/>
          <w:numId w:val="2"/>
        </w:numPr>
        <w:spacing w:line="360" w:lineRule="auto"/>
        <w:jc w:val="both"/>
        <w:rPr>
          <w:rFonts w:ascii="David" w:hAnsi="David" w:cs="David"/>
        </w:rPr>
      </w:pPr>
      <w:r>
        <w:rPr>
          <w:rFonts w:ascii="David" w:hAnsi="David" w:cs="David" w:hint="cs"/>
          <w:rtl/>
        </w:rPr>
        <w:t xml:space="preserve">לטענת התובעים </w:t>
      </w:r>
      <w:r w:rsidR="00D5377E" w:rsidRPr="00AF7595">
        <w:rPr>
          <w:rFonts w:ascii="David" w:hAnsi="David" w:cs="David"/>
          <w:rtl/>
        </w:rPr>
        <w:t xml:space="preserve">ביהמ״ש העליון קבע כי יחסי בני זוג כמוהם יחסי נאמנות (ע״א 7613/98 </w:t>
      </w:r>
      <w:r w:rsidR="00D5377E" w:rsidRPr="00AF7595">
        <w:rPr>
          <w:rFonts w:ascii="David" w:hAnsi="David" w:cs="David"/>
          <w:b/>
          <w:bCs/>
          <w:rtl/>
        </w:rPr>
        <w:t>בקר נ׳ אפרתי</w:t>
      </w:r>
      <w:r w:rsidR="00D5377E" w:rsidRPr="00AF7595">
        <w:rPr>
          <w:rFonts w:ascii="David" w:hAnsi="David" w:cs="David"/>
          <w:rtl/>
        </w:rPr>
        <w:t xml:space="preserve">, </w:t>
      </w:r>
      <w:proofErr w:type="spellStart"/>
      <w:r w:rsidR="00D5377E" w:rsidRPr="00AF7595">
        <w:rPr>
          <w:rFonts w:ascii="David" w:hAnsi="David" w:cs="David"/>
          <w:rtl/>
        </w:rPr>
        <w:t>פד״י</w:t>
      </w:r>
      <w:proofErr w:type="spellEnd"/>
      <w:r w:rsidR="00D5377E" w:rsidRPr="00AF7595">
        <w:rPr>
          <w:rFonts w:ascii="David" w:hAnsi="David" w:cs="David"/>
          <w:rtl/>
        </w:rPr>
        <w:t xml:space="preserve"> נד(2) 90). כלומר הנתבעת היא של</w:t>
      </w:r>
      <w:r w:rsidR="00271162" w:rsidRPr="00AF7595">
        <w:rPr>
          <w:rFonts w:ascii="David" w:hAnsi="David" w:cs="David" w:hint="cs"/>
          <w:rtl/>
        </w:rPr>
        <w:t>ו</w:t>
      </w:r>
      <w:r w:rsidR="00D5377E" w:rsidRPr="00AF7595">
        <w:rPr>
          <w:rFonts w:ascii="David" w:hAnsi="David" w:cs="David"/>
          <w:rtl/>
        </w:rPr>
        <w:t xml:space="preserve">חה של המנוח בניהול רכושה </w:t>
      </w:r>
      <w:r w:rsidR="00271162" w:rsidRPr="00AF7595">
        <w:rPr>
          <w:rFonts w:ascii="David" w:hAnsi="David" w:cs="David" w:hint="cs"/>
          <w:rtl/>
        </w:rPr>
        <w:t>ו</w:t>
      </w:r>
      <w:r w:rsidR="00D5377E" w:rsidRPr="00AF7595">
        <w:rPr>
          <w:rFonts w:ascii="David" w:hAnsi="David" w:cs="David"/>
          <w:rtl/>
        </w:rPr>
        <w:t>בין היתר גם</w:t>
      </w:r>
      <w:r w:rsidR="00271162" w:rsidRPr="00AF7595">
        <w:rPr>
          <w:rFonts w:ascii="David" w:hAnsi="David" w:cs="David" w:hint="cs"/>
          <w:rtl/>
        </w:rPr>
        <w:t xml:space="preserve"> בהתייחס</w:t>
      </w:r>
      <w:r w:rsidR="00D5377E" w:rsidRPr="00AF7595">
        <w:rPr>
          <w:rFonts w:ascii="David" w:hAnsi="David" w:cs="David"/>
          <w:rtl/>
        </w:rPr>
        <w:t xml:space="preserve"> </w:t>
      </w:r>
      <w:r w:rsidR="00271162" w:rsidRPr="00AF7595">
        <w:rPr>
          <w:rFonts w:ascii="David" w:hAnsi="David" w:cs="David" w:hint="cs"/>
          <w:rtl/>
        </w:rPr>
        <w:t>ל</w:t>
      </w:r>
      <w:r w:rsidR="00D5377E" w:rsidRPr="00AF7595">
        <w:rPr>
          <w:rFonts w:ascii="David" w:hAnsi="David" w:cs="David"/>
          <w:rtl/>
        </w:rPr>
        <w:t xml:space="preserve">זכויותיה הסוציאליות </w:t>
      </w:r>
      <w:r>
        <w:rPr>
          <w:rFonts w:ascii="David" w:hAnsi="David" w:cs="David" w:hint="cs"/>
          <w:rtl/>
        </w:rPr>
        <w:t>ו</w:t>
      </w:r>
      <w:r w:rsidR="00D5377E" w:rsidRPr="00AF7595">
        <w:rPr>
          <w:rFonts w:ascii="David" w:hAnsi="David" w:cs="David"/>
          <w:rtl/>
        </w:rPr>
        <w:t>חלה עליה חובה לפעול כלפי המנוח ועזבונו ביושר הגינות וגילוי מלוא המידע בהתאם לס׳ 8 לחוק השליחות וס׳ 10 לחוק הנאמנות.</w:t>
      </w:r>
      <w:r w:rsidR="00AF7595" w:rsidRPr="00AF7595">
        <w:rPr>
          <w:rFonts w:ascii="David" w:hAnsi="David" w:cs="David" w:hint="cs"/>
          <w:rtl/>
        </w:rPr>
        <w:t xml:space="preserve"> </w:t>
      </w:r>
      <w:r w:rsidR="00D5377E" w:rsidRPr="00AF7595">
        <w:rPr>
          <w:rFonts w:ascii="David" w:hAnsi="David" w:cs="David"/>
          <w:rtl/>
        </w:rPr>
        <w:t>התכחשות הנתבעת לזכויות המנוח במחצית זכויותיה</w:t>
      </w:r>
      <w:r w:rsidR="00741B07" w:rsidRPr="00AF7595">
        <w:rPr>
          <w:rFonts w:ascii="David" w:hAnsi="David" w:cs="David" w:hint="cs"/>
          <w:rtl/>
        </w:rPr>
        <w:t xml:space="preserve"> הסוציאליות</w:t>
      </w:r>
      <w:r w:rsidR="00D5377E" w:rsidRPr="00AF7595">
        <w:rPr>
          <w:rFonts w:ascii="David" w:hAnsi="David" w:cs="David"/>
          <w:rtl/>
        </w:rPr>
        <w:t xml:space="preserve"> ממקומות עבודתה לאורך שנות חייהם המשותפים היא בניגוד ל</w:t>
      </w:r>
      <w:r w:rsidR="00741B07" w:rsidRPr="00AF7595">
        <w:rPr>
          <w:rFonts w:ascii="David" w:hAnsi="David" w:cs="David" w:hint="cs"/>
          <w:rtl/>
        </w:rPr>
        <w:t>חובה ה</w:t>
      </w:r>
      <w:r w:rsidR="00D5377E" w:rsidRPr="00AF7595">
        <w:rPr>
          <w:rFonts w:ascii="David" w:hAnsi="David" w:cs="David"/>
          <w:rtl/>
        </w:rPr>
        <w:t>מוטל</w:t>
      </w:r>
      <w:r w:rsidR="00741B07" w:rsidRPr="00AF7595">
        <w:rPr>
          <w:rFonts w:ascii="David" w:hAnsi="David" w:cs="David" w:hint="cs"/>
          <w:rtl/>
        </w:rPr>
        <w:t>ת</w:t>
      </w:r>
      <w:r w:rsidR="00D5377E" w:rsidRPr="00AF7595">
        <w:rPr>
          <w:rFonts w:ascii="David" w:hAnsi="David" w:cs="David"/>
          <w:rtl/>
        </w:rPr>
        <w:t xml:space="preserve"> עליה לפעול כנאמנה של המנוח. </w:t>
      </w:r>
    </w:p>
    <w:p w:rsidR="00741B07" w:rsidRPr="00492E9C" w:rsidRDefault="00741B07" w:rsidP="00741B07">
      <w:pPr>
        <w:pStyle w:val="ad"/>
        <w:rPr>
          <w:rFonts w:ascii="David" w:hAnsi="David" w:cs="David"/>
          <w:rtl/>
        </w:rPr>
      </w:pPr>
    </w:p>
    <w:p w:rsidR="00D5377E" w:rsidRDefault="00AF7595" w:rsidP="00741B07">
      <w:pPr>
        <w:pStyle w:val="ad"/>
        <w:numPr>
          <w:ilvl w:val="0"/>
          <w:numId w:val="2"/>
        </w:numPr>
        <w:spacing w:line="360" w:lineRule="auto"/>
        <w:jc w:val="both"/>
        <w:rPr>
          <w:rFonts w:ascii="David" w:hAnsi="David" w:cs="David"/>
        </w:rPr>
      </w:pPr>
      <w:r>
        <w:rPr>
          <w:rFonts w:ascii="David" w:hAnsi="David" w:cs="David" w:hint="cs"/>
          <w:rtl/>
        </w:rPr>
        <w:t>משמדובר ביחסי נאמנות הרי ש</w:t>
      </w:r>
      <w:r w:rsidR="00D5377E">
        <w:rPr>
          <w:rFonts w:ascii="David" w:hAnsi="David" w:cs="David"/>
          <w:rtl/>
        </w:rPr>
        <w:t xml:space="preserve">ביהמ״ש העליון פסק </w:t>
      </w:r>
      <w:r w:rsidR="00741B07">
        <w:rPr>
          <w:rFonts w:ascii="David" w:hAnsi="David" w:cs="David" w:hint="cs"/>
          <w:rtl/>
        </w:rPr>
        <w:t xml:space="preserve">כבר </w:t>
      </w:r>
      <w:r w:rsidR="00D5377E">
        <w:rPr>
          <w:rFonts w:ascii="David" w:hAnsi="David" w:cs="David"/>
          <w:rtl/>
        </w:rPr>
        <w:t xml:space="preserve">שמרוץ ההתיישנות מתחיל ממועד כפירת הנאמן במעמדו (ע״א 6906/00 </w:t>
      </w:r>
      <w:proofErr w:type="spellStart"/>
      <w:r w:rsidR="00D5377E">
        <w:rPr>
          <w:rFonts w:ascii="David" w:hAnsi="David" w:cs="David"/>
          <w:b/>
          <w:bCs/>
          <w:rtl/>
        </w:rPr>
        <w:t>ענטאוי</w:t>
      </w:r>
      <w:proofErr w:type="spellEnd"/>
      <w:r w:rsidR="00D5377E">
        <w:rPr>
          <w:rFonts w:ascii="David" w:hAnsi="David" w:cs="David"/>
          <w:b/>
          <w:bCs/>
          <w:rtl/>
        </w:rPr>
        <w:t xml:space="preserve"> נ׳ הדר</w:t>
      </w:r>
      <w:r w:rsidR="00D5377E">
        <w:rPr>
          <w:rFonts w:ascii="David" w:hAnsi="David" w:cs="David"/>
          <w:rtl/>
        </w:rPr>
        <w:t xml:space="preserve">, </w:t>
      </w:r>
      <w:proofErr w:type="spellStart"/>
      <w:r w:rsidR="00D5377E">
        <w:rPr>
          <w:rFonts w:ascii="David" w:hAnsi="David" w:cs="David"/>
          <w:rtl/>
        </w:rPr>
        <w:t>פד״י</w:t>
      </w:r>
      <w:proofErr w:type="spellEnd"/>
      <w:r w:rsidR="00D5377E">
        <w:rPr>
          <w:rFonts w:ascii="David" w:hAnsi="David" w:cs="David"/>
          <w:rtl/>
        </w:rPr>
        <w:t xml:space="preserve"> נו(5), עמ׳ 287). כלומר מרוץ ההתיישנות שמבוסס על יחסי נאמנות של המנוח והנתבעת מתחיל בעת הגשת כתב הגנתה בתיק זה (28/02/23).</w:t>
      </w:r>
    </w:p>
    <w:p w:rsidR="00741B07" w:rsidRPr="00741B07" w:rsidRDefault="00741B07" w:rsidP="00741B07">
      <w:pPr>
        <w:pStyle w:val="ad"/>
        <w:rPr>
          <w:rFonts w:ascii="David" w:hAnsi="David" w:cs="David"/>
          <w:rtl/>
        </w:rPr>
      </w:pPr>
    </w:p>
    <w:p w:rsidR="00D5377E" w:rsidRDefault="00D5377E" w:rsidP="00741B07">
      <w:pPr>
        <w:pStyle w:val="ad"/>
        <w:numPr>
          <w:ilvl w:val="0"/>
          <w:numId w:val="2"/>
        </w:numPr>
        <w:spacing w:line="360" w:lineRule="auto"/>
        <w:jc w:val="both"/>
        <w:rPr>
          <w:rFonts w:ascii="David" w:hAnsi="David" w:cs="David"/>
        </w:rPr>
      </w:pPr>
      <w:r>
        <w:rPr>
          <w:rFonts w:ascii="David" w:hAnsi="David" w:cs="David"/>
          <w:rtl/>
        </w:rPr>
        <w:t xml:space="preserve">הנתבעת, כאלמנת המנוח, מקבלת את זכויות המנוח מאז פטירתו, לכן אין כל סיבה אם מכוח ׳גזירה שווה׳ ואם מכוח עיקרון העל של תום הלב </w:t>
      </w:r>
      <w:r w:rsidR="00741B07">
        <w:rPr>
          <w:rFonts w:ascii="David" w:hAnsi="David" w:cs="David" w:hint="cs"/>
          <w:rtl/>
        </w:rPr>
        <w:t>ש</w:t>
      </w:r>
      <w:r>
        <w:rPr>
          <w:rFonts w:ascii="David" w:hAnsi="David" w:cs="David"/>
          <w:rtl/>
        </w:rPr>
        <w:t xml:space="preserve">גם המנוח ויורשיו </w:t>
      </w:r>
      <w:r w:rsidR="00741B07">
        <w:rPr>
          <w:rFonts w:ascii="David" w:hAnsi="David" w:cs="David" w:hint="cs"/>
          <w:rtl/>
        </w:rPr>
        <w:t>לא יקבלו</w:t>
      </w:r>
      <w:r>
        <w:rPr>
          <w:rFonts w:ascii="David" w:hAnsi="David" w:cs="David"/>
          <w:rtl/>
        </w:rPr>
        <w:t xml:space="preserve"> את חלק המנוח בזכויות האישה</w:t>
      </w:r>
      <w:r w:rsidR="00741B07">
        <w:rPr>
          <w:rFonts w:ascii="David" w:hAnsi="David" w:cs="David" w:hint="cs"/>
          <w:rtl/>
        </w:rPr>
        <w:t xml:space="preserve"> </w:t>
      </w:r>
      <w:r w:rsidR="00741B07">
        <w:rPr>
          <w:rFonts w:ascii="David" w:hAnsi="David" w:cs="David"/>
          <w:rtl/>
        </w:rPr>
        <w:t>–</w:t>
      </w:r>
      <w:r w:rsidR="00741B07">
        <w:rPr>
          <w:rFonts w:ascii="David" w:hAnsi="David" w:cs="David" w:hint="cs"/>
          <w:rtl/>
        </w:rPr>
        <w:t xml:space="preserve"> הנתבעת -</w:t>
      </w:r>
      <w:r>
        <w:rPr>
          <w:rFonts w:ascii="David" w:hAnsi="David" w:cs="David"/>
          <w:rtl/>
        </w:rPr>
        <w:t xml:space="preserve"> אשר נצברו בחייהם המשותפים. ניכר חוסר תום הלב של הנתבעת שגם לאחר פטירת המנוח הכחישה את זכויותיו בדירת המגורים שרשומה על שמה. למרות שאת דירת המגורים קנו הזוג מכספי הפנסיה של המנוח.</w:t>
      </w:r>
    </w:p>
    <w:p w:rsidR="00D746F8" w:rsidRPr="00D746F8" w:rsidRDefault="00D746F8" w:rsidP="00D746F8">
      <w:pPr>
        <w:pStyle w:val="ad"/>
        <w:rPr>
          <w:rFonts w:ascii="David" w:hAnsi="David" w:cs="David"/>
          <w:rtl/>
        </w:rPr>
      </w:pPr>
    </w:p>
    <w:p w:rsidR="00D5377E" w:rsidRDefault="00741B07" w:rsidP="00741B07">
      <w:pPr>
        <w:pStyle w:val="ad"/>
        <w:numPr>
          <w:ilvl w:val="0"/>
          <w:numId w:val="2"/>
        </w:numPr>
        <w:spacing w:line="360" w:lineRule="auto"/>
        <w:jc w:val="both"/>
        <w:rPr>
          <w:rFonts w:ascii="David" w:hAnsi="David" w:cs="David"/>
        </w:rPr>
      </w:pPr>
      <w:r>
        <w:rPr>
          <w:rFonts w:ascii="David" w:hAnsi="David" w:cs="David" w:hint="cs"/>
          <w:rtl/>
        </w:rPr>
        <w:t xml:space="preserve">במענה </w:t>
      </w:r>
      <w:r w:rsidR="00D5377E">
        <w:rPr>
          <w:rFonts w:ascii="David" w:hAnsi="David" w:cs="David"/>
          <w:rtl/>
        </w:rPr>
        <w:t xml:space="preserve">לטענת הנתבעת </w:t>
      </w:r>
      <w:r>
        <w:rPr>
          <w:rFonts w:ascii="David" w:hAnsi="David" w:cs="David" w:hint="cs"/>
          <w:rtl/>
        </w:rPr>
        <w:t xml:space="preserve">בדבר </w:t>
      </w:r>
      <w:r w:rsidR="00D5377E">
        <w:rPr>
          <w:rFonts w:ascii="David" w:hAnsi="David" w:cs="David"/>
          <w:rtl/>
        </w:rPr>
        <w:t xml:space="preserve">״הרחבת חזית אסורה״ בנוגע לכך שהתובעים לא טענו בכתב התביעה כי יש לשנות את מועד ההתיישנות מרגע חתימת הצו המתוקן- מפנים התובעים לס׳ 18 בכתב התביעה. שם התייחסו לנושא. ולטענה כי לא התייחסו לטענת נאמנות מפנים לס׳ 6 שם פנו לנתבעת </w:t>
      </w:r>
      <w:proofErr w:type="spellStart"/>
      <w:r w:rsidR="00D5377E">
        <w:rPr>
          <w:rFonts w:ascii="David" w:hAnsi="David" w:cs="David"/>
          <w:rtl/>
        </w:rPr>
        <w:t>כ׳שליחה</w:t>
      </w:r>
      <w:proofErr w:type="spellEnd"/>
      <w:r w:rsidR="00D5377E">
        <w:rPr>
          <w:rFonts w:ascii="David" w:hAnsi="David" w:cs="David"/>
          <w:rtl/>
        </w:rPr>
        <w:t>׳.</w:t>
      </w:r>
    </w:p>
    <w:p w:rsidR="00741B07" w:rsidRDefault="00741B07" w:rsidP="00741B07">
      <w:pPr>
        <w:pStyle w:val="ad"/>
        <w:spacing w:line="360" w:lineRule="auto"/>
        <w:ind w:left="643"/>
        <w:jc w:val="both"/>
        <w:rPr>
          <w:rFonts w:ascii="David" w:hAnsi="David" w:cs="David"/>
        </w:rPr>
      </w:pPr>
    </w:p>
    <w:p w:rsidR="00D5377E" w:rsidRDefault="00D5377E" w:rsidP="00741B07">
      <w:pPr>
        <w:pStyle w:val="ad"/>
        <w:numPr>
          <w:ilvl w:val="0"/>
          <w:numId w:val="2"/>
        </w:numPr>
        <w:spacing w:line="360" w:lineRule="auto"/>
        <w:jc w:val="both"/>
        <w:rPr>
          <w:rFonts w:ascii="David" w:hAnsi="David" w:cs="David"/>
        </w:rPr>
      </w:pPr>
      <w:r>
        <w:rPr>
          <w:rFonts w:ascii="David" w:hAnsi="David" w:cs="David"/>
          <w:rtl/>
        </w:rPr>
        <w:t>לא ייגרם שום נזק ראייתי לנתבעת אם ביהמ״ש יאפשר לתובעים לאתר את כל המידע הפיננסי אודות המנוח והנתבעת בתקופת החיים המשותפים.</w:t>
      </w:r>
    </w:p>
    <w:p w:rsidR="00D5377E" w:rsidRDefault="00D5377E" w:rsidP="00D5377E">
      <w:pPr>
        <w:spacing w:line="360" w:lineRule="auto"/>
        <w:jc w:val="both"/>
        <w:rPr>
          <w:rFonts w:ascii="David" w:hAnsi="David"/>
        </w:rPr>
      </w:pPr>
    </w:p>
    <w:p w:rsidR="00D5377E" w:rsidRDefault="00445CF1" w:rsidP="00741B07">
      <w:pPr>
        <w:pStyle w:val="ad"/>
        <w:numPr>
          <w:ilvl w:val="0"/>
          <w:numId w:val="2"/>
        </w:numPr>
        <w:spacing w:line="360" w:lineRule="auto"/>
        <w:jc w:val="both"/>
        <w:rPr>
          <w:rFonts w:ascii="David" w:hAnsi="David" w:cs="David"/>
        </w:rPr>
      </w:pPr>
      <w:r>
        <w:rPr>
          <w:rFonts w:ascii="David" w:hAnsi="David" w:cs="David" w:hint="cs"/>
          <w:rtl/>
        </w:rPr>
        <w:t xml:space="preserve">הנתבעת טוענת כי </w:t>
      </w:r>
      <w:r w:rsidR="00D5377E">
        <w:rPr>
          <w:rFonts w:ascii="David" w:hAnsi="David" w:cs="David"/>
          <w:rtl/>
        </w:rPr>
        <w:t>בכתב התביעה התובעים לא התייחס</w:t>
      </w:r>
      <w:r w:rsidR="00741B07">
        <w:rPr>
          <w:rFonts w:ascii="David" w:hAnsi="David" w:cs="David" w:hint="cs"/>
          <w:rtl/>
        </w:rPr>
        <w:t>ו כלל</w:t>
      </w:r>
      <w:r w:rsidR="00D5377E">
        <w:rPr>
          <w:rFonts w:ascii="David" w:hAnsi="David" w:cs="David"/>
          <w:rtl/>
        </w:rPr>
        <w:t xml:space="preserve"> לטענת ״נאמנות״ ולטענה כי הצו המתוקן הוא המועד שממנו יש למנות את ההתיישנות ולכן מדובר בטענ</w:t>
      </w:r>
      <w:r w:rsidR="00741B07">
        <w:rPr>
          <w:rFonts w:ascii="David" w:hAnsi="David" w:cs="David" w:hint="cs"/>
          <w:rtl/>
        </w:rPr>
        <w:t>ו</w:t>
      </w:r>
      <w:r w:rsidR="00D5377E">
        <w:rPr>
          <w:rFonts w:ascii="David" w:hAnsi="David" w:cs="David"/>
          <w:rtl/>
        </w:rPr>
        <w:t>ת</w:t>
      </w:r>
      <w:r w:rsidR="00741B07">
        <w:rPr>
          <w:rFonts w:ascii="David" w:hAnsi="David" w:cs="David" w:hint="cs"/>
          <w:rtl/>
        </w:rPr>
        <w:t xml:space="preserve"> המהוות</w:t>
      </w:r>
      <w:r w:rsidR="00D5377E">
        <w:rPr>
          <w:rFonts w:ascii="David" w:hAnsi="David" w:cs="David"/>
          <w:rtl/>
        </w:rPr>
        <w:t xml:space="preserve"> ״הרחבת חזית אסורה״. </w:t>
      </w:r>
      <w:r w:rsidR="00741B07">
        <w:rPr>
          <w:rFonts w:ascii="David" w:hAnsi="David" w:cs="David" w:hint="cs"/>
          <w:rtl/>
        </w:rPr>
        <w:t xml:space="preserve">הנתבעת מציינת כי התובעים התייחסו </w:t>
      </w:r>
      <w:r w:rsidR="00D5377E">
        <w:rPr>
          <w:rFonts w:ascii="David" w:hAnsi="David" w:cs="David"/>
          <w:rtl/>
        </w:rPr>
        <w:t xml:space="preserve">לנושאים </w:t>
      </w:r>
      <w:r w:rsidR="00741B07">
        <w:rPr>
          <w:rFonts w:ascii="David" w:hAnsi="David" w:cs="David" w:hint="cs"/>
          <w:rtl/>
        </w:rPr>
        <w:t xml:space="preserve">אלו כאל </w:t>
      </w:r>
      <w:r w:rsidR="00D5377E">
        <w:rPr>
          <w:rFonts w:ascii="David" w:hAnsi="David" w:cs="David"/>
          <w:rtl/>
        </w:rPr>
        <w:t>עובדה יבשה ולא כטענה.</w:t>
      </w:r>
    </w:p>
    <w:p w:rsidR="00741B07" w:rsidRDefault="00741B07" w:rsidP="00741B07">
      <w:pPr>
        <w:pStyle w:val="ad"/>
        <w:spacing w:line="360" w:lineRule="auto"/>
        <w:ind w:left="643"/>
        <w:jc w:val="both"/>
        <w:rPr>
          <w:rFonts w:ascii="David" w:hAnsi="David" w:cs="David"/>
          <w:rtl/>
        </w:rPr>
      </w:pPr>
    </w:p>
    <w:p w:rsidR="00D5377E" w:rsidRDefault="00741B07" w:rsidP="006F485F">
      <w:pPr>
        <w:pStyle w:val="ad"/>
        <w:numPr>
          <w:ilvl w:val="0"/>
          <w:numId w:val="2"/>
        </w:numPr>
        <w:spacing w:line="360" w:lineRule="auto"/>
        <w:jc w:val="both"/>
        <w:rPr>
          <w:rFonts w:ascii="David" w:hAnsi="David" w:cs="David"/>
        </w:rPr>
      </w:pPr>
      <w:r>
        <w:rPr>
          <w:rFonts w:ascii="David" w:hAnsi="David" w:cs="David" w:hint="cs"/>
          <w:rtl/>
        </w:rPr>
        <w:t>בהתאם</w:t>
      </w:r>
      <w:r w:rsidR="00D5377E">
        <w:rPr>
          <w:rFonts w:ascii="David" w:hAnsi="David" w:cs="David"/>
          <w:rtl/>
        </w:rPr>
        <w:t xml:space="preserve"> </w:t>
      </w:r>
      <w:r>
        <w:rPr>
          <w:rFonts w:ascii="David" w:hAnsi="David" w:cs="David" w:hint="cs"/>
          <w:rtl/>
        </w:rPr>
        <w:t>ל</w:t>
      </w:r>
      <w:r w:rsidR="00D5377E">
        <w:rPr>
          <w:rFonts w:ascii="David" w:hAnsi="David" w:cs="David"/>
          <w:rtl/>
        </w:rPr>
        <w:t xml:space="preserve">חוק יחסי ממון והפסיקה </w:t>
      </w:r>
      <w:r>
        <w:rPr>
          <w:rFonts w:ascii="David" w:hAnsi="David" w:cs="David" w:hint="cs"/>
          <w:rtl/>
        </w:rPr>
        <w:t>הרלבנטית,</w:t>
      </w:r>
      <w:r w:rsidR="00D5377E">
        <w:rPr>
          <w:rFonts w:ascii="David" w:hAnsi="David" w:cs="David"/>
          <w:rtl/>
        </w:rPr>
        <w:t xml:space="preserve"> המועד ממנו נמנית תקופת ההתיישנות הוא מועד </w:t>
      </w:r>
      <w:r w:rsidR="00D746F8">
        <w:rPr>
          <w:rFonts w:ascii="David" w:hAnsi="David" w:cs="David" w:hint="cs"/>
          <w:rtl/>
        </w:rPr>
        <w:t xml:space="preserve">פקיעת הנישואין, ובמקרה זה מועד </w:t>
      </w:r>
      <w:r w:rsidR="00D5377E">
        <w:rPr>
          <w:rFonts w:ascii="David" w:hAnsi="David" w:cs="David"/>
          <w:rtl/>
        </w:rPr>
        <w:t>פטיר</w:t>
      </w:r>
      <w:r w:rsidR="00D746F8">
        <w:rPr>
          <w:rFonts w:ascii="David" w:hAnsi="David" w:cs="David" w:hint="cs"/>
          <w:rtl/>
        </w:rPr>
        <w:t>ת המנו</w:t>
      </w:r>
      <w:r w:rsidR="006F485F">
        <w:rPr>
          <w:rFonts w:ascii="David" w:hAnsi="David" w:cs="David" w:hint="cs"/>
          <w:rtl/>
        </w:rPr>
        <w:t>ח</w:t>
      </w:r>
      <w:r w:rsidR="00D5377E">
        <w:rPr>
          <w:rFonts w:ascii="David" w:hAnsi="David" w:cs="David"/>
          <w:rtl/>
        </w:rPr>
        <w:t xml:space="preserve"> ולא מועד צו קיום הצוואה. על כן לא רלוונטי מתי </w:t>
      </w:r>
      <w:r w:rsidR="00D746F8">
        <w:rPr>
          <w:rFonts w:ascii="David" w:hAnsi="David" w:cs="David" w:hint="cs"/>
          <w:rtl/>
        </w:rPr>
        <w:t>ניתן</w:t>
      </w:r>
      <w:r w:rsidR="00D5377E">
        <w:rPr>
          <w:rFonts w:ascii="David" w:hAnsi="David" w:cs="David"/>
          <w:rtl/>
        </w:rPr>
        <w:t xml:space="preserve"> צו </w:t>
      </w:r>
      <w:r w:rsidR="00CA0EF0">
        <w:rPr>
          <w:rFonts w:ascii="David" w:hAnsi="David" w:cs="David" w:hint="cs"/>
          <w:rtl/>
        </w:rPr>
        <w:t>קיום ה</w:t>
      </w:r>
      <w:r w:rsidR="00D5377E">
        <w:rPr>
          <w:rFonts w:ascii="David" w:hAnsi="David" w:cs="David"/>
          <w:rtl/>
        </w:rPr>
        <w:t xml:space="preserve">צוואה </w:t>
      </w:r>
      <w:r w:rsidR="00CA0EF0">
        <w:rPr>
          <w:rFonts w:ascii="David" w:hAnsi="David" w:cs="David" w:hint="cs"/>
          <w:rtl/>
        </w:rPr>
        <w:t>ה</w:t>
      </w:r>
      <w:r w:rsidR="00D5377E">
        <w:rPr>
          <w:rFonts w:ascii="David" w:hAnsi="David" w:cs="David"/>
          <w:rtl/>
        </w:rPr>
        <w:t xml:space="preserve">סופי. הגדרת מועד </w:t>
      </w:r>
      <w:r w:rsidR="00D746F8">
        <w:rPr>
          <w:rFonts w:ascii="David" w:hAnsi="David" w:cs="David" w:hint="cs"/>
          <w:rtl/>
        </w:rPr>
        <w:t xml:space="preserve">מתן צו הירושה הסופי </w:t>
      </w:r>
      <w:r w:rsidR="00D5377E">
        <w:rPr>
          <w:rFonts w:ascii="David" w:hAnsi="David" w:cs="David"/>
          <w:rtl/>
        </w:rPr>
        <w:t xml:space="preserve">כמועד </w:t>
      </w:r>
      <w:r w:rsidR="00D746F8">
        <w:rPr>
          <w:rFonts w:ascii="David" w:hAnsi="David" w:cs="David" w:hint="cs"/>
          <w:rtl/>
        </w:rPr>
        <w:t xml:space="preserve">לצורך </w:t>
      </w:r>
      <w:r w:rsidR="00D5377E">
        <w:rPr>
          <w:rFonts w:ascii="David" w:hAnsi="David" w:cs="David"/>
          <w:rtl/>
        </w:rPr>
        <w:t>התיישנות לא מתיישב</w:t>
      </w:r>
      <w:r w:rsidR="00CA0EF0">
        <w:rPr>
          <w:rFonts w:ascii="David" w:hAnsi="David" w:cs="David" w:hint="cs"/>
          <w:rtl/>
        </w:rPr>
        <w:t>ת</w:t>
      </w:r>
      <w:r w:rsidR="00D5377E">
        <w:rPr>
          <w:rFonts w:ascii="David" w:hAnsi="David" w:cs="David"/>
          <w:rtl/>
        </w:rPr>
        <w:t xml:space="preserve"> עם שיקולי מדיניות והיגיון בריא שכן </w:t>
      </w:r>
      <w:r w:rsidR="00CA0EF0">
        <w:rPr>
          <w:rFonts w:ascii="David" w:hAnsi="David" w:cs="David" w:hint="cs"/>
          <w:rtl/>
        </w:rPr>
        <w:t xml:space="preserve">מצב עניינים </w:t>
      </w:r>
      <w:r w:rsidR="00D5377E">
        <w:rPr>
          <w:rFonts w:ascii="David" w:hAnsi="David" w:cs="David"/>
          <w:rtl/>
        </w:rPr>
        <w:t xml:space="preserve">זה חושף את אשת המנוח לתביעות לאיזון משאבים גם 20 שנים לאחר פטירת הבן זוג במקרה שמתעכב צו קיום הצוואה </w:t>
      </w:r>
      <w:r w:rsidR="00CA0EF0">
        <w:rPr>
          <w:rFonts w:ascii="David" w:hAnsi="David" w:cs="David" w:hint="cs"/>
          <w:rtl/>
        </w:rPr>
        <w:t>כפי שאכן התעכב במקרה זה</w:t>
      </w:r>
      <w:r w:rsidR="00D5377E">
        <w:rPr>
          <w:rFonts w:ascii="David" w:hAnsi="David" w:cs="David"/>
          <w:rtl/>
        </w:rPr>
        <w:t>.</w:t>
      </w:r>
    </w:p>
    <w:p w:rsidR="00CA0EF0" w:rsidRPr="00CA0EF0" w:rsidRDefault="00CA0EF0" w:rsidP="00CA0EF0">
      <w:pPr>
        <w:pStyle w:val="ad"/>
        <w:rPr>
          <w:rFonts w:ascii="David" w:hAnsi="David" w:cs="David"/>
          <w:rtl/>
        </w:rPr>
      </w:pPr>
    </w:p>
    <w:p w:rsidR="00D5377E" w:rsidRDefault="00D5377E" w:rsidP="00CA0EF0">
      <w:pPr>
        <w:pStyle w:val="ad"/>
        <w:numPr>
          <w:ilvl w:val="0"/>
          <w:numId w:val="2"/>
        </w:numPr>
        <w:spacing w:line="360" w:lineRule="auto"/>
        <w:jc w:val="both"/>
        <w:rPr>
          <w:rFonts w:ascii="David" w:hAnsi="David" w:cs="David"/>
        </w:rPr>
      </w:pPr>
      <w:r>
        <w:rPr>
          <w:rFonts w:ascii="David" w:hAnsi="David" w:cs="David"/>
          <w:rtl/>
        </w:rPr>
        <w:t xml:space="preserve">התובעים </w:t>
      </w:r>
      <w:r w:rsidR="00CA0EF0">
        <w:rPr>
          <w:rFonts w:ascii="David" w:hAnsi="David" w:cs="David" w:hint="cs"/>
          <w:rtl/>
        </w:rPr>
        <w:t>התנהגו ו</w:t>
      </w:r>
      <w:r>
        <w:rPr>
          <w:rFonts w:ascii="David" w:hAnsi="David" w:cs="David"/>
          <w:rtl/>
        </w:rPr>
        <w:t>הוגדרו כיורשים בכל שלב נתון, גם לפי הצוואה הראשונה משנת 1997. ועובדה שהם</w:t>
      </w:r>
      <w:r w:rsidR="00CA0EF0">
        <w:rPr>
          <w:rFonts w:ascii="David" w:hAnsi="David" w:cs="David" w:hint="cs"/>
          <w:rtl/>
        </w:rPr>
        <w:t xml:space="preserve"> אכן </w:t>
      </w:r>
      <w:r>
        <w:rPr>
          <w:rFonts w:ascii="David" w:hAnsi="David" w:cs="David"/>
          <w:rtl/>
        </w:rPr>
        <w:t xml:space="preserve">הגישו תביעה בשנת 2018 בשם המנוח </w:t>
      </w:r>
      <w:r w:rsidR="00CA0EF0">
        <w:rPr>
          <w:rFonts w:ascii="David" w:hAnsi="David" w:cs="David" w:hint="cs"/>
          <w:rtl/>
        </w:rPr>
        <w:t xml:space="preserve">זאת אף </w:t>
      </w:r>
      <w:r>
        <w:rPr>
          <w:rFonts w:ascii="David" w:hAnsi="David" w:cs="David"/>
          <w:rtl/>
        </w:rPr>
        <w:t xml:space="preserve">טרם הוכרזו כיורשים. על כן יכלו </w:t>
      </w:r>
      <w:r w:rsidR="00CA0EF0">
        <w:rPr>
          <w:rFonts w:ascii="David" w:hAnsi="David" w:cs="David" w:hint="cs"/>
          <w:rtl/>
        </w:rPr>
        <w:t xml:space="preserve">גם </w:t>
      </w:r>
      <w:r>
        <w:rPr>
          <w:rFonts w:ascii="David" w:hAnsi="David" w:cs="David"/>
          <w:rtl/>
        </w:rPr>
        <w:t>להגיש תביעה זו טרם התיישנות העילה. זאת לא</w:t>
      </w:r>
      <w:r w:rsidR="00CA0EF0">
        <w:rPr>
          <w:rFonts w:ascii="David" w:hAnsi="David" w:cs="David" w:hint="cs"/>
          <w:rtl/>
        </w:rPr>
        <w:t>ו דווקא תוך התבססות על כך</w:t>
      </w:r>
      <w:r>
        <w:rPr>
          <w:rFonts w:ascii="David" w:hAnsi="David" w:cs="David"/>
          <w:rtl/>
        </w:rPr>
        <w:t xml:space="preserve"> ש</w:t>
      </w:r>
      <w:r w:rsidR="00CA0EF0">
        <w:rPr>
          <w:rFonts w:ascii="David" w:hAnsi="David" w:cs="David" w:hint="cs"/>
          <w:rtl/>
        </w:rPr>
        <w:t>לנוכח העובדה</w:t>
      </w:r>
      <w:r>
        <w:rPr>
          <w:rFonts w:ascii="David" w:hAnsi="David" w:cs="David"/>
          <w:rtl/>
        </w:rPr>
        <w:t xml:space="preserve"> </w:t>
      </w:r>
      <w:r w:rsidR="00CA0EF0">
        <w:rPr>
          <w:rFonts w:ascii="David" w:hAnsi="David" w:cs="David" w:hint="cs"/>
          <w:rtl/>
        </w:rPr>
        <w:t>ש</w:t>
      </w:r>
      <w:r>
        <w:rPr>
          <w:rFonts w:ascii="David" w:hAnsi="David" w:cs="David"/>
          <w:rtl/>
        </w:rPr>
        <w:t xml:space="preserve">הם בניו של המנוח הם </w:t>
      </w:r>
      <w:r w:rsidR="00CA0EF0">
        <w:rPr>
          <w:rFonts w:ascii="David" w:hAnsi="David" w:cs="David" w:hint="cs"/>
          <w:rtl/>
        </w:rPr>
        <w:t xml:space="preserve">לכאורה </w:t>
      </w:r>
      <w:r>
        <w:rPr>
          <w:rFonts w:ascii="David" w:hAnsi="David" w:cs="David"/>
          <w:rtl/>
        </w:rPr>
        <w:t>באופן אוטומטי יורשים, כ</w:t>
      </w:r>
      <w:r w:rsidR="00CA0EF0">
        <w:rPr>
          <w:rFonts w:ascii="David" w:hAnsi="David" w:cs="David" w:hint="cs"/>
          <w:rtl/>
        </w:rPr>
        <w:t>פי</w:t>
      </w:r>
      <w:r>
        <w:rPr>
          <w:rFonts w:ascii="David" w:hAnsi="David" w:cs="David"/>
          <w:rtl/>
        </w:rPr>
        <w:t xml:space="preserve"> שנ</w:t>
      </w:r>
      <w:r w:rsidR="00CA0EF0">
        <w:rPr>
          <w:rFonts w:ascii="David" w:hAnsi="David" w:cs="David" w:hint="cs"/>
          <w:rtl/>
        </w:rPr>
        <w:t>טען</w:t>
      </w:r>
      <w:r>
        <w:rPr>
          <w:rFonts w:ascii="David" w:hAnsi="David" w:cs="David"/>
          <w:rtl/>
        </w:rPr>
        <w:t xml:space="preserve"> על ידם, אלא </w:t>
      </w:r>
      <w:r w:rsidR="00CA0EF0">
        <w:rPr>
          <w:rFonts w:ascii="David" w:hAnsi="David" w:cs="David" w:hint="cs"/>
          <w:rtl/>
        </w:rPr>
        <w:t>בהתבסס על כך שבהתאם ל</w:t>
      </w:r>
      <w:r>
        <w:rPr>
          <w:rFonts w:ascii="David" w:hAnsi="David" w:cs="David"/>
          <w:rtl/>
        </w:rPr>
        <w:t>ש</w:t>
      </w:r>
      <w:r w:rsidR="00CA0EF0">
        <w:rPr>
          <w:rFonts w:ascii="David" w:hAnsi="David" w:cs="David" w:hint="cs"/>
          <w:rtl/>
        </w:rPr>
        <w:t>ת</w:t>
      </w:r>
      <w:r>
        <w:rPr>
          <w:rFonts w:ascii="David" w:hAnsi="David" w:cs="David"/>
          <w:rtl/>
        </w:rPr>
        <w:t>י ה</w:t>
      </w:r>
      <w:r w:rsidR="00CA0EF0">
        <w:rPr>
          <w:rFonts w:ascii="David" w:hAnsi="David" w:cs="David" w:hint="cs"/>
          <w:rtl/>
        </w:rPr>
        <w:t xml:space="preserve">צוואות הם בפועל </w:t>
      </w:r>
      <w:r>
        <w:rPr>
          <w:rFonts w:ascii="David" w:hAnsi="David" w:cs="David"/>
          <w:rtl/>
        </w:rPr>
        <w:t>יורשים</w:t>
      </w:r>
      <w:r w:rsidR="00CA0EF0">
        <w:rPr>
          <w:rFonts w:ascii="David" w:hAnsi="David" w:cs="David" w:hint="cs"/>
          <w:rtl/>
        </w:rPr>
        <w:t xml:space="preserve"> את המנוח</w:t>
      </w:r>
      <w:r>
        <w:rPr>
          <w:rFonts w:ascii="David" w:hAnsi="David" w:cs="David"/>
          <w:rtl/>
        </w:rPr>
        <w:t xml:space="preserve">. </w:t>
      </w:r>
    </w:p>
    <w:p w:rsidR="00CA0EF0" w:rsidRPr="00CA0EF0" w:rsidRDefault="00CA0EF0" w:rsidP="00CA0EF0">
      <w:pPr>
        <w:pStyle w:val="ad"/>
        <w:rPr>
          <w:rFonts w:ascii="David" w:hAnsi="David" w:cs="David"/>
          <w:rtl/>
        </w:rPr>
      </w:pPr>
    </w:p>
    <w:p w:rsidR="000A67D7" w:rsidRDefault="00D5377E" w:rsidP="000C62A1">
      <w:pPr>
        <w:pStyle w:val="ad"/>
        <w:numPr>
          <w:ilvl w:val="0"/>
          <w:numId w:val="2"/>
        </w:numPr>
        <w:spacing w:line="360" w:lineRule="auto"/>
        <w:jc w:val="both"/>
        <w:rPr>
          <w:rFonts w:ascii="David" w:hAnsi="David" w:cs="David"/>
        </w:rPr>
      </w:pPr>
      <w:r>
        <w:rPr>
          <w:rFonts w:ascii="David" w:hAnsi="David" w:cs="David"/>
          <w:rtl/>
        </w:rPr>
        <w:lastRenderedPageBreak/>
        <w:t>עצם העילה לאיזון משאבים כולה התיישנה בפרט זכויות הפנסיה. ועל כן יש לדחות את כל טענותיהם</w:t>
      </w:r>
      <w:r w:rsidR="00445CF1">
        <w:rPr>
          <w:rFonts w:ascii="David" w:hAnsi="David" w:cs="David"/>
          <w:rtl/>
        </w:rPr>
        <w:t xml:space="preserve"> בנושא זה יחד עם פסקי הדין </w:t>
      </w:r>
      <w:proofErr w:type="spellStart"/>
      <w:r w:rsidR="00445CF1">
        <w:rPr>
          <w:rFonts w:ascii="David" w:hAnsi="David" w:cs="David"/>
          <w:rtl/>
        </w:rPr>
        <w:t>שהוב</w:t>
      </w:r>
      <w:r w:rsidR="00445CF1">
        <w:rPr>
          <w:rFonts w:ascii="David" w:hAnsi="David" w:cs="David" w:hint="cs"/>
          <w:rtl/>
        </w:rPr>
        <w:t>יאו</w:t>
      </w:r>
      <w:proofErr w:type="spellEnd"/>
      <w:r w:rsidR="00445CF1">
        <w:rPr>
          <w:rFonts w:ascii="David" w:hAnsi="David" w:cs="David" w:hint="cs"/>
          <w:rtl/>
        </w:rPr>
        <w:t xml:space="preserve"> על מנת לתמוך את טענותיהם. פ</w:t>
      </w:r>
      <w:r w:rsidR="000C62A1">
        <w:rPr>
          <w:rFonts w:ascii="David" w:hAnsi="David" w:cs="David" w:hint="cs"/>
          <w:rtl/>
        </w:rPr>
        <w:t>ס</w:t>
      </w:r>
      <w:r w:rsidR="00445CF1">
        <w:rPr>
          <w:rFonts w:ascii="David" w:hAnsi="David" w:cs="David" w:hint="cs"/>
          <w:rtl/>
        </w:rPr>
        <w:t xml:space="preserve">קי הדין אליהן </w:t>
      </w:r>
      <w:r w:rsidR="001C3EEA">
        <w:rPr>
          <w:rFonts w:ascii="David" w:hAnsi="David" w:cs="David" w:hint="cs"/>
          <w:rtl/>
        </w:rPr>
        <w:t>הפנו התובעים דנים ב</w:t>
      </w:r>
      <w:r>
        <w:rPr>
          <w:rFonts w:ascii="David" w:hAnsi="David" w:cs="David"/>
          <w:rtl/>
        </w:rPr>
        <w:t>בני זוג שנפרדו ולא סיכמו מה יעשו עם זכיותיהם הסוציאליות ובמקרה כאן מדובר ביורשים שמבקשים נתח מהפנסיה של אשת המנוח.</w:t>
      </w:r>
    </w:p>
    <w:p w:rsidR="000A67D7" w:rsidRPr="000A67D7" w:rsidRDefault="000A67D7" w:rsidP="000A67D7">
      <w:pPr>
        <w:pStyle w:val="ad"/>
        <w:rPr>
          <w:rFonts w:ascii="David" w:hAnsi="David" w:cs="David"/>
          <w:rtl/>
        </w:rPr>
      </w:pPr>
    </w:p>
    <w:p w:rsidR="00D5377E" w:rsidRPr="000A67D7" w:rsidRDefault="00D5377E" w:rsidP="000A67D7">
      <w:pPr>
        <w:spacing w:line="360" w:lineRule="auto"/>
        <w:jc w:val="both"/>
        <w:rPr>
          <w:rFonts w:ascii="David" w:hAnsi="David"/>
        </w:rPr>
      </w:pPr>
      <w:r w:rsidRPr="000A67D7">
        <w:rPr>
          <w:rFonts w:ascii="David" w:hAnsi="David"/>
          <w:rtl/>
        </w:rPr>
        <w:t xml:space="preserve"> </w:t>
      </w:r>
    </w:p>
    <w:p w:rsidR="00D5377E" w:rsidRDefault="001C3EEA" w:rsidP="00741B07">
      <w:pPr>
        <w:pStyle w:val="ad"/>
        <w:numPr>
          <w:ilvl w:val="0"/>
          <w:numId w:val="2"/>
        </w:numPr>
        <w:spacing w:line="360" w:lineRule="auto"/>
        <w:jc w:val="both"/>
        <w:rPr>
          <w:rFonts w:ascii="David" w:hAnsi="David" w:cs="David"/>
        </w:rPr>
      </w:pPr>
      <w:r>
        <w:rPr>
          <w:rFonts w:ascii="David" w:hAnsi="David" w:cs="David" w:hint="cs"/>
          <w:rtl/>
        </w:rPr>
        <w:t>ב</w:t>
      </w:r>
      <w:r w:rsidR="00F60C57">
        <w:rPr>
          <w:rFonts w:ascii="David" w:hAnsi="David" w:cs="David" w:hint="cs"/>
          <w:rtl/>
        </w:rPr>
        <w:t xml:space="preserve">נוסף, </w:t>
      </w:r>
      <w:r w:rsidR="00D5377E">
        <w:rPr>
          <w:rFonts w:ascii="David" w:hAnsi="David" w:cs="David"/>
          <w:rtl/>
        </w:rPr>
        <w:t xml:space="preserve"> הנתבעת בגיל פרישה כבר שנים רבות, עוד כשהמנוח היה בחיים ולכן יכלו בכל רגע נתון לתבוע</w:t>
      </w:r>
      <w:r>
        <w:rPr>
          <w:rFonts w:ascii="David" w:hAnsi="David" w:cs="David" w:hint="cs"/>
          <w:rtl/>
        </w:rPr>
        <w:t xml:space="preserve"> ולא היה צורך להמתין לדבר מה</w:t>
      </w:r>
      <w:r w:rsidR="00D5377E">
        <w:rPr>
          <w:rFonts w:ascii="David" w:hAnsi="David" w:cs="David"/>
          <w:rtl/>
        </w:rPr>
        <w:t xml:space="preserve">. </w:t>
      </w:r>
    </w:p>
    <w:p w:rsidR="00F60C57" w:rsidRDefault="00F60C57" w:rsidP="00F60C57">
      <w:pPr>
        <w:pStyle w:val="ad"/>
        <w:spacing w:line="360" w:lineRule="auto"/>
        <w:ind w:left="643"/>
        <w:jc w:val="both"/>
        <w:rPr>
          <w:rFonts w:ascii="David" w:hAnsi="David" w:cs="David"/>
        </w:rPr>
      </w:pPr>
    </w:p>
    <w:p w:rsidR="00D5377E" w:rsidRDefault="00D5377E" w:rsidP="00F60C57">
      <w:pPr>
        <w:pStyle w:val="ad"/>
        <w:numPr>
          <w:ilvl w:val="0"/>
          <w:numId w:val="2"/>
        </w:numPr>
        <w:spacing w:line="360" w:lineRule="auto"/>
        <w:jc w:val="both"/>
        <w:rPr>
          <w:rFonts w:ascii="David" w:hAnsi="David" w:cs="David"/>
        </w:rPr>
      </w:pPr>
      <w:r>
        <w:rPr>
          <w:rFonts w:ascii="David" w:hAnsi="David" w:cs="David"/>
          <w:rtl/>
        </w:rPr>
        <w:t xml:space="preserve">ע״פ המשטר </w:t>
      </w:r>
      <w:proofErr w:type="spellStart"/>
      <w:r>
        <w:rPr>
          <w:rFonts w:ascii="David" w:hAnsi="David" w:cs="David"/>
          <w:rtl/>
        </w:rPr>
        <w:t>הרכושי</w:t>
      </w:r>
      <w:proofErr w:type="spellEnd"/>
      <w:r>
        <w:rPr>
          <w:rFonts w:ascii="David" w:hAnsi="David" w:cs="David"/>
          <w:rtl/>
        </w:rPr>
        <w:t xml:space="preserve"> ב</w:t>
      </w:r>
      <w:r w:rsidR="00F60C57">
        <w:rPr>
          <w:rFonts w:ascii="David" w:hAnsi="David" w:cs="David" w:hint="cs"/>
          <w:rtl/>
        </w:rPr>
        <w:t>התאם ל</w:t>
      </w:r>
      <w:r>
        <w:rPr>
          <w:rFonts w:ascii="David" w:hAnsi="David" w:cs="David"/>
          <w:rtl/>
        </w:rPr>
        <w:t xml:space="preserve">חוק יחסי ממון אשר חל בעניין זה, מוחל איזון בין צבירות הצדדים ולא </w:t>
      </w:r>
      <w:r w:rsidR="00F60C57">
        <w:rPr>
          <w:rFonts w:ascii="David" w:hAnsi="David" w:cs="David" w:hint="cs"/>
          <w:rtl/>
        </w:rPr>
        <w:t>מוחל הסדר</w:t>
      </w:r>
      <w:r>
        <w:rPr>
          <w:rFonts w:ascii="David" w:hAnsi="David" w:cs="David"/>
          <w:rtl/>
        </w:rPr>
        <w:t xml:space="preserve"> נאמנות ולכן הטענות בנושא זה לא רלוונטיות.</w:t>
      </w:r>
    </w:p>
    <w:p w:rsidR="000A67D7" w:rsidRPr="000A67D7" w:rsidRDefault="000A67D7" w:rsidP="000A67D7">
      <w:pPr>
        <w:spacing w:line="360" w:lineRule="auto"/>
        <w:jc w:val="both"/>
        <w:rPr>
          <w:rFonts w:ascii="David" w:hAnsi="David"/>
        </w:rPr>
      </w:pPr>
    </w:p>
    <w:p w:rsidR="00D5377E" w:rsidRDefault="00D5377E" w:rsidP="00F60C57">
      <w:pPr>
        <w:pStyle w:val="ad"/>
        <w:numPr>
          <w:ilvl w:val="0"/>
          <w:numId w:val="2"/>
        </w:numPr>
        <w:spacing w:line="360" w:lineRule="auto"/>
        <w:jc w:val="both"/>
        <w:rPr>
          <w:rFonts w:ascii="David" w:hAnsi="David" w:cs="David"/>
        </w:rPr>
      </w:pPr>
      <w:r>
        <w:rPr>
          <w:rFonts w:ascii="David" w:hAnsi="David" w:cs="David"/>
          <w:rtl/>
        </w:rPr>
        <w:t>טענת התובעים כי הנתבעת נהנ</w:t>
      </w:r>
      <w:r w:rsidR="00F60C57">
        <w:rPr>
          <w:rFonts w:ascii="David" w:hAnsi="David" w:cs="David" w:hint="cs"/>
          <w:rtl/>
        </w:rPr>
        <w:t>י</w:t>
      </w:r>
      <w:r>
        <w:rPr>
          <w:rFonts w:ascii="David" w:hAnsi="David" w:cs="David"/>
          <w:rtl/>
        </w:rPr>
        <w:t>ת מזכויותיו של המנוח אינה נכונה, כי היא זכאית לקצבת שאירים כבת זוג ו</w:t>
      </w:r>
      <w:r w:rsidR="00F60C57">
        <w:rPr>
          <w:rFonts w:ascii="David" w:hAnsi="David" w:cs="David" w:hint="cs"/>
          <w:rtl/>
        </w:rPr>
        <w:t>קצבה זו אינה</w:t>
      </w:r>
      <w:r>
        <w:rPr>
          <w:rFonts w:ascii="David" w:hAnsi="David" w:cs="David"/>
          <w:rtl/>
        </w:rPr>
        <w:t xml:space="preserve"> על חשבון התובעים.</w:t>
      </w:r>
    </w:p>
    <w:p w:rsidR="000A67D7" w:rsidRPr="000A67D7" w:rsidRDefault="000A67D7" w:rsidP="000A67D7">
      <w:pPr>
        <w:spacing w:line="360" w:lineRule="auto"/>
        <w:jc w:val="both"/>
        <w:rPr>
          <w:rFonts w:ascii="David" w:hAnsi="David"/>
        </w:rPr>
      </w:pPr>
    </w:p>
    <w:p w:rsidR="00D5377E" w:rsidRDefault="00D5377E" w:rsidP="00741B07">
      <w:pPr>
        <w:pStyle w:val="ad"/>
        <w:numPr>
          <w:ilvl w:val="0"/>
          <w:numId w:val="2"/>
        </w:numPr>
        <w:spacing w:line="360" w:lineRule="auto"/>
        <w:jc w:val="both"/>
        <w:rPr>
          <w:rFonts w:ascii="David" w:hAnsi="David" w:cs="David"/>
        </w:rPr>
      </w:pPr>
      <w:r>
        <w:rPr>
          <w:rFonts w:ascii="David" w:hAnsi="David" w:cs="David"/>
          <w:rtl/>
        </w:rPr>
        <w:t xml:space="preserve">הטענה כי הנתבעת מסתירה ומתנהגת בחוסר תום לב אינה נכונה כי כל סוגיית הדירה הוצגה באופן שקרי, שכן המנוח מלכתחילה התכוון להוריש את הדירה במלואה לנתבעת אלא אם כן ייפרדו או יתגרשו והדבר לא קרה.  </w:t>
      </w:r>
      <w:r w:rsidR="00F60C57">
        <w:rPr>
          <w:rFonts w:ascii="David" w:hAnsi="David" w:cs="David" w:hint="cs"/>
          <w:rtl/>
        </w:rPr>
        <w:t xml:space="preserve">עם זאת, </w:t>
      </w:r>
      <w:r>
        <w:rPr>
          <w:rFonts w:ascii="David" w:hAnsi="David" w:cs="David"/>
          <w:rtl/>
        </w:rPr>
        <w:t>למרות כוונתם הברורה של הזוג בניו של המנוח קיבלו את זכויותיהם בדירה.</w:t>
      </w:r>
      <w:r w:rsidR="000A67D7">
        <w:rPr>
          <w:rFonts w:ascii="David" w:hAnsi="David" w:cs="David" w:hint="cs"/>
          <w:rtl/>
        </w:rPr>
        <w:t xml:space="preserve"> </w:t>
      </w:r>
    </w:p>
    <w:p w:rsidR="000A67D7" w:rsidRPr="000A67D7" w:rsidRDefault="000A67D7" w:rsidP="000A67D7">
      <w:pPr>
        <w:spacing w:line="360" w:lineRule="auto"/>
        <w:jc w:val="both"/>
        <w:rPr>
          <w:rFonts w:ascii="David" w:hAnsi="David"/>
        </w:rPr>
      </w:pPr>
    </w:p>
    <w:p w:rsidR="00D5377E" w:rsidRDefault="00D5377E" w:rsidP="00741B07">
      <w:pPr>
        <w:pStyle w:val="ad"/>
        <w:numPr>
          <w:ilvl w:val="0"/>
          <w:numId w:val="2"/>
        </w:numPr>
        <w:spacing w:line="360" w:lineRule="auto"/>
        <w:jc w:val="both"/>
        <w:rPr>
          <w:rFonts w:ascii="David" w:hAnsi="David" w:cs="David"/>
        </w:rPr>
      </w:pPr>
      <w:r>
        <w:rPr>
          <w:rFonts w:ascii="David" w:hAnsi="David" w:cs="David"/>
          <w:rtl/>
        </w:rPr>
        <w:t>התביעה תגרום לנתבעת</w:t>
      </w:r>
      <w:r w:rsidR="001C3EEA">
        <w:rPr>
          <w:rFonts w:ascii="David" w:hAnsi="David" w:cs="David" w:hint="cs"/>
          <w:rtl/>
        </w:rPr>
        <w:t>, שהינה אישה מבוגרת,</w:t>
      </w:r>
      <w:r>
        <w:rPr>
          <w:rFonts w:ascii="David" w:hAnsi="David" w:cs="David"/>
          <w:rtl/>
        </w:rPr>
        <w:t xml:space="preserve"> נזק בלתי הפיך לכן תצטרך לנהל הליך בפני ביהמ״ש וספק אם תצליח להציג את מלוא הראיות הרלוונטיות, היות ולא יכלה לצפות לתביעה זו.</w:t>
      </w:r>
    </w:p>
    <w:p w:rsidR="000A67D7" w:rsidRPr="000A67D7" w:rsidRDefault="000A67D7" w:rsidP="000A67D7">
      <w:pPr>
        <w:pStyle w:val="ad"/>
        <w:rPr>
          <w:rFonts w:ascii="David" w:hAnsi="David" w:cs="David"/>
          <w:rtl/>
        </w:rPr>
      </w:pPr>
    </w:p>
    <w:p w:rsidR="00D5377E" w:rsidRDefault="00D5377E" w:rsidP="001C3EEA">
      <w:pPr>
        <w:pStyle w:val="ad"/>
        <w:numPr>
          <w:ilvl w:val="0"/>
          <w:numId w:val="2"/>
        </w:numPr>
        <w:spacing w:line="360" w:lineRule="auto"/>
        <w:jc w:val="both"/>
        <w:rPr>
          <w:rFonts w:ascii="David" w:hAnsi="David" w:cs="David"/>
        </w:rPr>
      </w:pPr>
      <w:r>
        <w:rPr>
          <w:rFonts w:ascii="David" w:hAnsi="David" w:cs="David"/>
          <w:rtl/>
        </w:rPr>
        <w:t xml:space="preserve">התובעים מבקשים איזון חד צדדי </w:t>
      </w:r>
      <w:r w:rsidR="001C3EEA">
        <w:rPr>
          <w:rFonts w:ascii="David" w:hAnsi="David" w:cs="David" w:hint="cs"/>
          <w:rtl/>
        </w:rPr>
        <w:t xml:space="preserve">שיתבצע </w:t>
      </w:r>
      <w:r>
        <w:rPr>
          <w:rFonts w:ascii="David" w:hAnsi="David" w:cs="David"/>
          <w:rtl/>
        </w:rPr>
        <w:t xml:space="preserve">רק כלפי הנתבעת, </w:t>
      </w:r>
      <w:r w:rsidR="001C3EEA">
        <w:rPr>
          <w:rFonts w:ascii="David" w:hAnsi="David" w:cs="David" w:hint="cs"/>
          <w:rtl/>
        </w:rPr>
        <w:t xml:space="preserve">שכן </w:t>
      </w:r>
      <w:r>
        <w:rPr>
          <w:rFonts w:ascii="David" w:hAnsi="David" w:cs="David"/>
          <w:rtl/>
        </w:rPr>
        <w:t>הוציאו את הכספים שצבר המנוח מכלל איזון, בטענה שחשבונות הבנק לא רלוונטיים לאיזון מבלי לבדוק מה מקור הכספים. על כן  יש להצביע על חוסר תום ליבם של התובעים.</w:t>
      </w:r>
    </w:p>
    <w:p w:rsidR="001A5BAA" w:rsidRDefault="001A5BAA" w:rsidP="001A5BAA">
      <w:pPr>
        <w:spacing w:line="360" w:lineRule="auto"/>
        <w:jc w:val="both"/>
        <w:rPr>
          <w:rFonts w:ascii="David" w:hAnsi="David"/>
          <w:rtl/>
        </w:rPr>
      </w:pPr>
    </w:p>
    <w:p w:rsidR="001A5BAA" w:rsidRDefault="001A5BAA" w:rsidP="001A5BAA">
      <w:pPr>
        <w:spacing w:line="360" w:lineRule="auto"/>
        <w:jc w:val="both"/>
        <w:rPr>
          <w:rFonts w:ascii="David" w:hAnsi="David"/>
          <w:b/>
          <w:bCs/>
          <w:rtl/>
        </w:rPr>
      </w:pPr>
      <w:r w:rsidRPr="001A5BAA">
        <w:rPr>
          <w:rFonts w:ascii="David" w:hAnsi="David" w:hint="cs"/>
          <w:b/>
          <w:bCs/>
          <w:rtl/>
        </w:rPr>
        <w:t>דיון והכרעה</w:t>
      </w:r>
    </w:p>
    <w:p w:rsidR="001A5BAA" w:rsidRPr="00EF07F9" w:rsidRDefault="001A5BAA" w:rsidP="001A5BAA">
      <w:pPr>
        <w:spacing w:line="360" w:lineRule="auto"/>
        <w:jc w:val="both"/>
        <w:rPr>
          <w:rFonts w:ascii="David" w:hAnsi="David"/>
          <w:b/>
          <w:bCs/>
          <w:rtl/>
        </w:rPr>
      </w:pPr>
    </w:p>
    <w:p w:rsidR="00B45B90" w:rsidRDefault="00B45B90" w:rsidP="001C3EEA">
      <w:pPr>
        <w:pStyle w:val="ad"/>
        <w:numPr>
          <w:ilvl w:val="0"/>
          <w:numId w:val="2"/>
        </w:numPr>
        <w:spacing w:line="360" w:lineRule="auto"/>
        <w:jc w:val="both"/>
        <w:rPr>
          <w:rFonts w:ascii="David" w:hAnsi="David" w:cs="David"/>
        </w:rPr>
      </w:pPr>
      <w:r>
        <w:rPr>
          <w:rFonts w:ascii="David" w:hAnsi="David" w:cs="David" w:hint="cs"/>
          <w:rtl/>
        </w:rPr>
        <w:t xml:space="preserve">ביחס לטענת התיישנות נקבע </w:t>
      </w:r>
      <w:r w:rsidRPr="00B45B90">
        <w:rPr>
          <w:rFonts w:ascii="David" w:hAnsi="David" w:cs="David"/>
          <w:rtl/>
        </w:rPr>
        <w:t xml:space="preserve">בפסיקה נקבע כי "מקום בו ההכרעה בטענת הסף של ההתיישנות עשויה להביא לסיום ההתדיינות בתביעה, ובכך לחסוך מהצדדים ומבית המשפט משאבים ניכרים, </w:t>
      </w:r>
      <w:proofErr w:type="spellStart"/>
      <w:r w:rsidR="00C34F87" w:rsidRPr="00B45B90">
        <w:rPr>
          <w:rFonts w:ascii="David" w:hAnsi="David" w:cs="David" w:hint="cs"/>
          <w:rtl/>
        </w:rPr>
        <w:t>שומ</w:t>
      </w:r>
      <w:r w:rsidR="00C34F87" w:rsidRPr="00B45B90">
        <w:rPr>
          <w:rFonts w:ascii="David" w:hAnsi="David" w:cs="David" w:hint="eastAsia"/>
          <w:rtl/>
        </w:rPr>
        <w:t>א</w:t>
      </w:r>
      <w:proofErr w:type="spellEnd"/>
      <w:r w:rsidRPr="00B45B90">
        <w:rPr>
          <w:rFonts w:ascii="David" w:hAnsi="David" w:cs="David"/>
          <w:rtl/>
        </w:rPr>
        <w:t xml:space="preserve"> על בית המשפט לדון בשאלת ההתיישנות כטענה מקדמית" (ע"א 2919/07 </w:t>
      </w:r>
      <w:r w:rsidRPr="00B45B90">
        <w:rPr>
          <w:rFonts w:ascii="David" w:hAnsi="David" w:cs="David"/>
          <w:b/>
          <w:bCs/>
          <w:rtl/>
        </w:rPr>
        <w:t>מדינת ישראל – הוועדה לאנרגיה אטומית נ' גיא-</w:t>
      </w:r>
      <w:proofErr w:type="spellStart"/>
      <w:r w:rsidRPr="00B45B90">
        <w:rPr>
          <w:rFonts w:ascii="David" w:hAnsi="David" w:cs="David"/>
          <w:b/>
          <w:bCs/>
          <w:rtl/>
        </w:rPr>
        <w:t>ליפל</w:t>
      </w:r>
      <w:proofErr w:type="spellEnd"/>
      <w:r w:rsidRPr="00B45B90">
        <w:rPr>
          <w:rFonts w:ascii="David" w:hAnsi="David" w:cs="David"/>
          <w:b/>
          <w:bCs/>
          <w:rtl/>
        </w:rPr>
        <w:t xml:space="preserve">, </w:t>
      </w:r>
      <w:r w:rsidRPr="00B45B90">
        <w:rPr>
          <w:rFonts w:ascii="David" w:hAnsi="David" w:cs="David"/>
          <w:rtl/>
        </w:rPr>
        <w:t>פ"ד סד(2) 82, פסקה</w:t>
      </w:r>
      <w:r w:rsidRPr="00B45B90">
        <w:rPr>
          <w:rFonts w:ascii="David" w:hAnsi="David" w:cs="David"/>
          <w:b/>
          <w:bCs/>
          <w:rtl/>
        </w:rPr>
        <w:t xml:space="preserve"> </w:t>
      </w:r>
      <w:r w:rsidRPr="00B45B90">
        <w:rPr>
          <w:rFonts w:ascii="David" w:hAnsi="David" w:cs="David"/>
          <w:rtl/>
        </w:rPr>
        <w:t xml:space="preserve">26 (2010); </w:t>
      </w:r>
      <w:r w:rsidRPr="00B45B90">
        <w:rPr>
          <w:rFonts w:ascii="David" w:hAnsi="David" w:cs="David"/>
          <w:rtl/>
        </w:rPr>
        <w:lastRenderedPageBreak/>
        <w:t xml:space="preserve">להלן: עניין </w:t>
      </w:r>
      <w:r w:rsidRPr="00B45B90">
        <w:rPr>
          <w:rFonts w:ascii="David" w:hAnsi="David" w:cs="David"/>
          <w:b/>
          <w:bCs/>
          <w:rtl/>
        </w:rPr>
        <w:t>הוועדה לאנרגיה אטומית</w:t>
      </w:r>
      <w:r w:rsidRPr="00B45B90">
        <w:rPr>
          <w:rFonts w:ascii="David" w:hAnsi="David" w:cs="David"/>
          <w:rtl/>
        </w:rPr>
        <w:t>). אני סבורה כי זה המצב בהליך שלפניי, ולפיכך קיימת הצדקה להכריע בבקשה בשלב הנוכחי ולא לדחותה לשלב הדיון בתובענה לגופה.</w:t>
      </w:r>
    </w:p>
    <w:p w:rsidR="00B45B90" w:rsidRPr="00B45B90" w:rsidRDefault="00B45B90" w:rsidP="00B45B90">
      <w:pPr>
        <w:spacing w:line="360" w:lineRule="auto"/>
        <w:jc w:val="both"/>
        <w:rPr>
          <w:rFonts w:ascii="David" w:hAnsi="David"/>
        </w:rPr>
      </w:pPr>
    </w:p>
    <w:p w:rsidR="00B45B90" w:rsidRPr="00B45B90" w:rsidRDefault="00B45B90" w:rsidP="00B45B90">
      <w:pPr>
        <w:pStyle w:val="ad"/>
        <w:numPr>
          <w:ilvl w:val="0"/>
          <w:numId w:val="2"/>
        </w:numPr>
        <w:spacing w:line="360" w:lineRule="auto"/>
        <w:jc w:val="both"/>
        <w:rPr>
          <w:rFonts w:ascii="David" w:hAnsi="David"/>
        </w:rPr>
      </w:pPr>
      <w:r w:rsidRPr="00B45B90">
        <w:rPr>
          <w:rFonts w:ascii="David" w:hAnsi="David" w:cs="David"/>
          <w:rtl/>
        </w:rPr>
        <w:t>אקדים ואומר</w:t>
      </w:r>
      <w:r w:rsidRPr="00B45B90">
        <w:rPr>
          <w:rFonts w:ascii="David" w:hAnsi="David" w:cs="David" w:hint="cs"/>
          <w:rtl/>
        </w:rPr>
        <w:t xml:space="preserve"> </w:t>
      </w:r>
      <w:r w:rsidRPr="00B45B90">
        <w:rPr>
          <w:rFonts w:ascii="David" w:hAnsi="David" w:cs="David"/>
          <w:rtl/>
        </w:rPr>
        <w:t>כי מצאתי לקבל את טענת ההתיישנות</w:t>
      </w:r>
      <w:r w:rsidRPr="00B45B90">
        <w:rPr>
          <w:rFonts w:ascii="David" w:hAnsi="David" w:cs="David" w:hint="cs"/>
          <w:rtl/>
        </w:rPr>
        <w:t xml:space="preserve"> ולהלן נימוקי</w:t>
      </w:r>
      <w:r>
        <w:rPr>
          <w:rFonts w:ascii="David" w:hAnsi="David" w:hint="cs"/>
          <w:rtl/>
        </w:rPr>
        <w:t>:</w:t>
      </w:r>
    </w:p>
    <w:p w:rsidR="00B45B90" w:rsidRPr="00B45B90" w:rsidRDefault="00B45B90" w:rsidP="00B45B90">
      <w:pPr>
        <w:spacing w:line="360" w:lineRule="auto"/>
        <w:jc w:val="both"/>
        <w:rPr>
          <w:rFonts w:ascii="David" w:hAnsi="David"/>
        </w:rPr>
      </w:pPr>
    </w:p>
    <w:p w:rsidR="006F485F" w:rsidRDefault="007C609F" w:rsidP="007C609F">
      <w:pPr>
        <w:pStyle w:val="ad"/>
        <w:numPr>
          <w:ilvl w:val="0"/>
          <w:numId w:val="2"/>
        </w:numPr>
        <w:spacing w:line="360" w:lineRule="auto"/>
        <w:jc w:val="both"/>
        <w:rPr>
          <w:rFonts w:ascii="David" w:hAnsi="David" w:cs="David"/>
        </w:rPr>
      </w:pPr>
      <w:r>
        <w:rPr>
          <w:rFonts w:ascii="David" w:hAnsi="David" w:cs="David" w:hint="cs"/>
          <w:rtl/>
        </w:rPr>
        <w:t>המנוח והנתבעת חיו כבני זוג במשך 22 שנה החל משנת 1993 ועד לפטירתו ביום 3.9.15.</w:t>
      </w:r>
    </w:p>
    <w:p w:rsidR="007C609F" w:rsidRPr="007C609F" w:rsidRDefault="007C609F" w:rsidP="007C609F">
      <w:pPr>
        <w:pStyle w:val="ad"/>
        <w:rPr>
          <w:rFonts w:ascii="David" w:hAnsi="David" w:cs="David"/>
          <w:rtl/>
        </w:rPr>
      </w:pPr>
    </w:p>
    <w:p w:rsidR="00C42F5E" w:rsidRDefault="007C609F" w:rsidP="001C3EEA">
      <w:pPr>
        <w:pStyle w:val="ad"/>
        <w:numPr>
          <w:ilvl w:val="0"/>
          <w:numId w:val="2"/>
        </w:numPr>
        <w:spacing w:line="360" w:lineRule="auto"/>
        <w:jc w:val="both"/>
        <w:rPr>
          <w:rFonts w:ascii="David" w:hAnsi="David" w:cs="David"/>
        </w:rPr>
      </w:pPr>
      <w:r>
        <w:rPr>
          <w:rFonts w:ascii="David" w:hAnsi="David" w:cs="David" w:hint="cs"/>
          <w:rtl/>
        </w:rPr>
        <w:t xml:space="preserve">הנתבעת והמנוח </w:t>
      </w:r>
      <w:r w:rsidR="001C3EEA">
        <w:rPr>
          <w:rFonts w:ascii="David" w:hAnsi="David" w:cs="David" w:hint="cs"/>
          <w:rtl/>
        </w:rPr>
        <w:t xml:space="preserve">אף </w:t>
      </w:r>
      <w:r>
        <w:rPr>
          <w:rFonts w:ascii="David" w:hAnsi="David" w:cs="David" w:hint="cs"/>
          <w:rtl/>
        </w:rPr>
        <w:t xml:space="preserve">נישאו כדמו"י בשנת 1999 לפיכך, הדין החל </w:t>
      </w:r>
      <w:r w:rsidR="001C3EEA">
        <w:rPr>
          <w:rFonts w:ascii="David" w:hAnsi="David" w:cs="David" w:hint="cs"/>
          <w:rtl/>
        </w:rPr>
        <w:t>ה</w:t>
      </w:r>
      <w:r>
        <w:rPr>
          <w:rFonts w:ascii="David" w:hAnsi="David" w:cs="David" w:hint="cs"/>
          <w:rtl/>
        </w:rPr>
        <w:t xml:space="preserve">ינו חוק יחסי </w:t>
      </w:r>
      <w:r w:rsidR="002F5748">
        <w:rPr>
          <w:rFonts w:ascii="David" w:hAnsi="David" w:cs="David" w:hint="cs"/>
          <w:rtl/>
        </w:rPr>
        <w:t>מ</w:t>
      </w:r>
      <w:r>
        <w:rPr>
          <w:rFonts w:ascii="David" w:hAnsi="David" w:cs="David" w:hint="cs"/>
          <w:rtl/>
        </w:rPr>
        <w:t xml:space="preserve">מון בין בני זוג </w:t>
      </w:r>
      <w:proofErr w:type="spellStart"/>
      <w:r>
        <w:rPr>
          <w:rFonts w:ascii="David" w:hAnsi="David" w:cs="David" w:hint="cs"/>
          <w:rtl/>
        </w:rPr>
        <w:t>התשל"ג</w:t>
      </w:r>
      <w:proofErr w:type="spellEnd"/>
      <w:r>
        <w:rPr>
          <w:rFonts w:ascii="David" w:hAnsi="David" w:cs="David" w:hint="cs"/>
          <w:rtl/>
        </w:rPr>
        <w:t xml:space="preserve"> -1973</w:t>
      </w:r>
      <w:r w:rsidR="00F323EA">
        <w:rPr>
          <w:rFonts w:ascii="David" w:hAnsi="David" w:cs="David" w:hint="cs"/>
          <w:rtl/>
        </w:rPr>
        <w:t xml:space="preserve">. </w:t>
      </w:r>
      <w:r w:rsidR="001C3EEA">
        <w:rPr>
          <w:rFonts w:ascii="David" w:hAnsi="David" w:cs="David" w:hint="cs"/>
          <w:rtl/>
        </w:rPr>
        <w:t>בהתאם</w:t>
      </w:r>
      <w:r w:rsidR="00F323EA">
        <w:rPr>
          <w:rFonts w:ascii="David" w:hAnsi="David" w:cs="David" w:hint="cs"/>
          <w:rtl/>
        </w:rPr>
        <w:t xml:space="preserve"> </w:t>
      </w:r>
      <w:r w:rsidR="001C3EEA">
        <w:rPr>
          <w:rFonts w:ascii="David" w:hAnsi="David" w:cs="David" w:hint="cs"/>
          <w:rtl/>
        </w:rPr>
        <w:t>ל</w:t>
      </w:r>
      <w:r w:rsidR="00F323EA">
        <w:rPr>
          <w:rFonts w:ascii="David" w:hAnsi="David" w:cs="David" w:hint="cs"/>
          <w:rtl/>
        </w:rPr>
        <w:t>חוק יחסי ממון הזכות לאיזון משאבים קמה עם פקיעת</w:t>
      </w:r>
      <w:r w:rsidR="00521374">
        <w:rPr>
          <w:rFonts w:ascii="David" w:hAnsi="David" w:cs="David" w:hint="cs"/>
          <w:rtl/>
        </w:rPr>
        <w:t xml:space="preserve"> הנישואין, קרי ביום פטירת המנוח, קרי 3.9.15.</w:t>
      </w:r>
    </w:p>
    <w:p w:rsidR="00C42F5E" w:rsidRPr="00C42F5E" w:rsidRDefault="00C42F5E" w:rsidP="00C42F5E">
      <w:pPr>
        <w:pStyle w:val="ad"/>
        <w:rPr>
          <w:rFonts w:ascii="David" w:hAnsi="David" w:cs="David"/>
          <w:rtl/>
        </w:rPr>
      </w:pPr>
    </w:p>
    <w:p w:rsidR="007C609F" w:rsidRDefault="00C42F5E" w:rsidP="00C42F5E">
      <w:pPr>
        <w:pStyle w:val="ad"/>
        <w:numPr>
          <w:ilvl w:val="0"/>
          <w:numId w:val="2"/>
        </w:numPr>
        <w:spacing w:line="360" w:lineRule="auto"/>
        <w:jc w:val="both"/>
        <w:rPr>
          <w:rFonts w:ascii="David" w:hAnsi="David" w:cs="David"/>
        </w:rPr>
      </w:pPr>
      <w:r>
        <w:rPr>
          <w:rFonts w:ascii="David" w:hAnsi="David" w:cs="David" w:hint="cs"/>
          <w:rtl/>
        </w:rPr>
        <w:t xml:space="preserve">נוסף על זאת, עוד טרם הנישואים בהיותם ידועים בציבור ביום 21.7.1997 המנוח והנתבעת חתמו על הסכם ממון שקבע </w:t>
      </w:r>
      <w:r>
        <w:rPr>
          <w:rFonts w:ascii="David" w:hAnsi="David" w:cs="David" w:hint="cs"/>
          <w:b/>
          <w:bCs/>
          <w:rtl/>
        </w:rPr>
        <w:t xml:space="preserve">במפורש </w:t>
      </w:r>
      <w:r w:rsidR="00F323EA">
        <w:rPr>
          <w:rFonts w:ascii="David" w:hAnsi="David" w:cs="David" w:hint="cs"/>
          <w:rtl/>
        </w:rPr>
        <w:t xml:space="preserve"> </w:t>
      </w:r>
      <w:r>
        <w:rPr>
          <w:rFonts w:ascii="David" w:hAnsi="David" w:cs="David" w:hint="cs"/>
          <w:rtl/>
        </w:rPr>
        <w:t>את מועדי הזכות לאיזון משאבים</w:t>
      </w:r>
      <w:r w:rsidR="002F5748">
        <w:rPr>
          <w:rFonts w:ascii="David" w:hAnsi="David" w:cs="David" w:hint="cs"/>
          <w:rtl/>
        </w:rPr>
        <w:t xml:space="preserve"> בהתאם לחוק יחסי ממון.</w:t>
      </w:r>
    </w:p>
    <w:p w:rsidR="00C42F5E" w:rsidRPr="00C42F5E" w:rsidRDefault="00C42F5E" w:rsidP="00C42F5E">
      <w:pPr>
        <w:pStyle w:val="ad"/>
        <w:rPr>
          <w:rFonts w:ascii="David" w:hAnsi="David" w:cs="David"/>
          <w:rtl/>
        </w:rPr>
      </w:pPr>
    </w:p>
    <w:p w:rsidR="00C42F5E" w:rsidRPr="00C42F5E" w:rsidRDefault="00521374" w:rsidP="00C42F5E">
      <w:pPr>
        <w:spacing w:line="360" w:lineRule="auto"/>
        <w:jc w:val="both"/>
        <w:rPr>
          <w:rFonts w:ascii="David" w:hAnsi="David"/>
        </w:rPr>
      </w:pPr>
      <w:r w:rsidRPr="00521374">
        <w:rPr>
          <w:rFonts w:ascii="David" w:hAnsi="David"/>
          <w:rtl/>
        </w:rPr>
        <w:drawing>
          <wp:inline distT="0" distB="0" distL="0" distR="0" wp14:anchorId="35F0A3F3" wp14:editId="070A0261">
            <wp:extent cx="5400675" cy="3336290"/>
            <wp:effectExtent l="0" t="0" r="952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00675" cy="3336290"/>
                    </a:xfrm>
                    <a:prstGeom prst="rect">
                      <a:avLst/>
                    </a:prstGeom>
                  </pic:spPr>
                </pic:pic>
              </a:graphicData>
            </a:graphic>
          </wp:inline>
        </w:drawing>
      </w:r>
    </w:p>
    <w:p w:rsidR="00F60C57" w:rsidRPr="00C34F87" w:rsidRDefault="00F60C57" w:rsidP="00F60C57">
      <w:pPr>
        <w:pStyle w:val="ad"/>
        <w:spacing w:line="360" w:lineRule="auto"/>
        <w:ind w:left="643"/>
        <w:jc w:val="both"/>
        <w:rPr>
          <w:rFonts w:ascii="David" w:hAnsi="David" w:cs="David"/>
        </w:rPr>
      </w:pPr>
    </w:p>
    <w:p w:rsidR="00C34F87" w:rsidRDefault="00397440" w:rsidP="00E65CFF">
      <w:pPr>
        <w:pStyle w:val="Ruller4"/>
        <w:numPr>
          <w:ilvl w:val="0"/>
          <w:numId w:val="2"/>
        </w:numPr>
        <w:contextualSpacing/>
        <w:rPr>
          <w:rFonts w:ascii="David" w:hAnsi="David" w:cs="David"/>
          <w:szCs w:val="24"/>
        </w:rPr>
      </w:pPr>
      <w:r w:rsidRPr="00E65CFF">
        <w:rPr>
          <w:rFonts w:ascii="David" w:hAnsi="David" w:cs="David"/>
          <w:szCs w:val="24"/>
          <w:rtl/>
        </w:rPr>
        <w:t>לשון סעיף</w:t>
      </w:r>
      <w:r w:rsidR="001A5BAA" w:rsidRPr="00E65CFF">
        <w:rPr>
          <w:rFonts w:ascii="David" w:hAnsi="David" w:cs="David"/>
          <w:szCs w:val="24"/>
          <w:rtl/>
        </w:rPr>
        <w:t xml:space="preserve"> 6 </w:t>
      </w:r>
      <w:r w:rsidRPr="00E65CFF">
        <w:rPr>
          <w:rFonts w:ascii="David" w:hAnsi="David" w:cs="David"/>
          <w:b/>
          <w:bCs/>
          <w:szCs w:val="24"/>
          <w:rtl/>
        </w:rPr>
        <w:t>ל</w:t>
      </w:r>
      <w:r w:rsidR="001A5BAA" w:rsidRPr="00E65CFF">
        <w:rPr>
          <w:rFonts w:ascii="David" w:hAnsi="David" w:cs="David"/>
          <w:b/>
          <w:bCs/>
          <w:szCs w:val="24"/>
          <w:rtl/>
        </w:rPr>
        <w:t>חוק ההתיישנות תשי"ח – 19</w:t>
      </w:r>
      <w:r w:rsidR="00B02E09" w:rsidRPr="00E65CFF">
        <w:rPr>
          <w:rFonts w:ascii="David" w:hAnsi="David" w:cs="David"/>
          <w:b/>
          <w:bCs/>
          <w:szCs w:val="24"/>
          <w:rtl/>
        </w:rPr>
        <w:t>58</w:t>
      </w:r>
      <w:r w:rsidRPr="00E65CFF">
        <w:rPr>
          <w:rFonts w:ascii="David" w:hAnsi="David" w:cs="David"/>
          <w:szCs w:val="24"/>
          <w:rtl/>
        </w:rPr>
        <w:t xml:space="preserve"> קובעת כי </w:t>
      </w:r>
      <w:r w:rsidR="001A5BAA" w:rsidRPr="00E65CFF">
        <w:rPr>
          <w:rFonts w:ascii="David" w:hAnsi="David" w:cs="David"/>
          <w:color w:val="000000"/>
          <w:szCs w:val="24"/>
          <w:shd w:val="clear" w:color="auto" w:fill="FFFFFF"/>
          <w:rtl/>
        </w:rPr>
        <w:t>תקופת ההתיישנות מתחילה ביום שבו נולדה עילת התובענה</w:t>
      </w:r>
      <w:r w:rsidR="001A5BAA" w:rsidRPr="00E65CFF">
        <w:rPr>
          <w:rFonts w:ascii="David" w:hAnsi="David" w:cs="David"/>
          <w:color w:val="000000"/>
          <w:szCs w:val="24"/>
          <w:shd w:val="clear" w:color="auto" w:fill="FFFFFF"/>
        </w:rPr>
        <w:t>.</w:t>
      </w:r>
      <w:r w:rsidR="001A5BAA" w:rsidRPr="00E65CFF">
        <w:rPr>
          <w:rFonts w:ascii="David" w:hAnsi="David" w:cs="David"/>
          <w:szCs w:val="24"/>
          <w:rtl/>
        </w:rPr>
        <w:t xml:space="preserve"> </w:t>
      </w:r>
      <w:r w:rsidR="00C34F87" w:rsidRPr="00E65CFF">
        <w:rPr>
          <w:rFonts w:ascii="David" w:hAnsi="David" w:cs="David"/>
          <w:szCs w:val="24"/>
          <w:rtl/>
        </w:rPr>
        <w:t xml:space="preserve">זהו המועד שבו התגבש בידי התובע "כוח תביעה", </w:t>
      </w:r>
      <w:r w:rsidR="00C34F87" w:rsidRPr="00E65CFF">
        <w:rPr>
          <w:rFonts w:ascii="David" w:hAnsi="David" w:cs="David"/>
          <w:szCs w:val="24"/>
          <w:rtl/>
        </w:rPr>
        <w:lastRenderedPageBreak/>
        <w:t>כלומר, המועד שבו הייתה לתובע אפשרות ממשית להגיש תביעה. ממועד זה מתחיל מרוץ ההתיישנות. בסיומה של התקופה</w:t>
      </w:r>
      <w:r w:rsidR="00E65CFF">
        <w:rPr>
          <w:rFonts w:ascii="David" w:hAnsi="David" w:cs="David" w:hint="cs"/>
          <w:szCs w:val="24"/>
          <w:rtl/>
        </w:rPr>
        <w:t xml:space="preserve"> </w:t>
      </w:r>
      <w:r w:rsidR="00C34F87" w:rsidRPr="00E65CFF">
        <w:rPr>
          <w:rFonts w:ascii="David" w:hAnsi="David" w:cs="David"/>
          <w:szCs w:val="24"/>
          <w:rtl/>
        </w:rPr>
        <w:t>התביעה תתיישן.</w:t>
      </w:r>
    </w:p>
    <w:p w:rsidR="00E65CFF" w:rsidRDefault="00E65CFF" w:rsidP="00E65CFF">
      <w:pPr>
        <w:pStyle w:val="Ruller4"/>
        <w:contextualSpacing/>
        <w:rPr>
          <w:rFonts w:ascii="David" w:hAnsi="David" w:cs="David"/>
          <w:szCs w:val="24"/>
        </w:rPr>
      </w:pPr>
    </w:p>
    <w:p w:rsidR="001A5BAA" w:rsidRDefault="00C34F87" w:rsidP="00CD3449">
      <w:pPr>
        <w:pStyle w:val="ad"/>
        <w:numPr>
          <w:ilvl w:val="0"/>
          <w:numId w:val="2"/>
        </w:numPr>
        <w:spacing w:line="360" w:lineRule="auto"/>
        <w:jc w:val="both"/>
        <w:rPr>
          <w:rFonts w:ascii="David" w:hAnsi="David" w:cs="David"/>
        </w:rPr>
      </w:pPr>
      <w:r w:rsidRPr="00E65CFF">
        <w:rPr>
          <w:rFonts w:ascii="David" w:hAnsi="David" w:cs="David"/>
          <w:rtl/>
        </w:rPr>
        <w:t xml:space="preserve"> </w:t>
      </w:r>
      <w:r w:rsidR="001A5BAA" w:rsidRPr="00E65CFF">
        <w:rPr>
          <w:rFonts w:ascii="David" w:hAnsi="David" w:cs="David"/>
          <w:rtl/>
        </w:rPr>
        <w:t xml:space="preserve">לפיכך, </w:t>
      </w:r>
      <w:r w:rsidR="00521374" w:rsidRPr="00E65CFF">
        <w:rPr>
          <w:rFonts w:ascii="David" w:hAnsi="David" w:cs="David" w:hint="cs"/>
          <w:rtl/>
        </w:rPr>
        <w:t xml:space="preserve">משקבעתי כי </w:t>
      </w:r>
      <w:r w:rsidR="00397440" w:rsidRPr="00E65CFF">
        <w:rPr>
          <w:rFonts w:ascii="David" w:hAnsi="David" w:cs="David"/>
          <w:rtl/>
        </w:rPr>
        <w:t xml:space="preserve">המועד בו קמה </w:t>
      </w:r>
      <w:r w:rsidR="001A5BAA" w:rsidRPr="00E65CFF">
        <w:rPr>
          <w:rFonts w:ascii="David" w:hAnsi="David" w:cs="David"/>
          <w:rtl/>
        </w:rPr>
        <w:t>עיל</w:t>
      </w:r>
      <w:r w:rsidR="00397440" w:rsidRPr="00E65CFF">
        <w:rPr>
          <w:rFonts w:ascii="David" w:hAnsi="David" w:cs="David"/>
          <w:rtl/>
        </w:rPr>
        <w:t xml:space="preserve">ת </w:t>
      </w:r>
      <w:r w:rsidR="00521374" w:rsidRPr="00E65CFF">
        <w:rPr>
          <w:rFonts w:ascii="David" w:hAnsi="David" w:cs="David" w:hint="cs"/>
          <w:rtl/>
        </w:rPr>
        <w:t>ה</w:t>
      </w:r>
      <w:r w:rsidR="00397440" w:rsidRPr="00E65CFF">
        <w:rPr>
          <w:rFonts w:ascii="David" w:hAnsi="David" w:cs="David"/>
          <w:rtl/>
        </w:rPr>
        <w:t>תביעה</w:t>
      </w:r>
      <w:r w:rsidR="00521374" w:rsidRPr="00E65CFF">
        <w:rPr>
          <w:rFonts w:ascii="David" w:hAnsi="David" w:cs="David"/>
          <w:rtl/>
        </w:rPr>
        <w:t xml:space="preserve"> לאיזון משאבים ב</w:t>
      </w:r>
      <w:r w:rsidR="001A5BAA" w:rsidRPr="00E65CFF">
        <w:rPr>
          <w:rFonts w:ascii="David" w:hAnsi="David" w:cs="David"/>
          <w:rtl/>
        </w:rPr>
        <w:t xml:space="preserve">יחס </w:t>
      </w:r>
      <w:r w:rsidR="00521374" w:rsidRPr="00E65CFF">
        <w:rPr>
          <w:rFonts w:ascii="David" w:hAnsi="David" w:cs="David" w:hint="cs"/>
          <w:rtl/>
        </w:rPr>
        <w:t>לעיזבון המנוח</w:t>
      </w:r>
      <w:r w:rsidR="00397440" w:rsidRPr="00E65CFF">
        <w:rPr>
          <w:rFonts w:ascii="David" w:hAnsi="David" w:cs="David"/>
          <w:rtl/>
        </w:rPr>
        <w:t xml:space="preserve"> </w:t>
      </w:r>
      <w:r w:rsidR="000C62A1">
        <w:rPr>
          <w:rFonts w:ascii="David" w:hAnsi="David" w:cs="David"/>
          <w:rtl/>
        </w:rPr>
        <w:t>...</w:t>
      </w:r>
      <w:r w:rsidR="001A5BAA" w:rsidRPr="00E65CFF">
        <w:rPr>
          <w:rFonts w:ascii="David" w:hAnsi="David" w:cs="David"/>
          <w:rtl/>
        </w:rPr>
        <w:t xml:space="preserve"> </w:t>
      </w:r>
      <w:r w:rsidR="00521374" w:rsidRPr="00E65CFF">
        <w:rPr>
          <w:rFonts w:ascii="David" w:hAnsi="David" w:cs="David"/>
          <w:rtl/>
        </w:rPr>
        <w:t>הוא</w:t>
      </w:r>
      <w:r w:rsidR="00F60C57" w:rsidRPr="00E65CFF">
        <w:rPr>
          <w:rFonts w:ascii="David" w:hAnsi="David" w:cs="David"/>
          <w:rtl/>
        </w:rPr>
        <w:t xml:space="preserve"> </w:t>
      </w:r>
      <w:r w:rsidR="00521374" w:rsidRPr="00E65CFF">
        <w:rPr>
          <w:rFonts w:ascii="David" w:hAnsi="David" w:cs="David"/>
          <w:rtl/>
        </w:rPr>
        <w:t xml:space="preserve">מועד </w:t>
      </w:r>
      <w:r w:rsidR="001A5BAA" w:rsidRPr="00E65CFF">
        <w:rPr>
          <w:rFonts w:ascii="David" w:hAnsi="David" w:cs="David"/>
          <w:rtl/>
        </w:rPr>
        <w:t xml:space="preserve">פטירתו ביום </w:t>
      </w:r>
      <w:r w:rsidR="00492E9C" w:rsidRPr="00E65CFF">
        <w:rPr>
          <w:rFonts w:ascii="David" w:hAnsi="David" w:cs="David"/>
          <w:rtl/>
        </w:rPr>
        <w:t>3.9.2015</w:t>
      </w:r>
      <w:r w:rsidR="006761CB" w:rsidRPr="00E65CFF">
        <w:rPr>
          <w:rFonts w:ascii="David" w:hAnsi="David" w:cs="David" w:hint="cs"/>
          <w:rtl/>
        </w:rPr>
        <w:t xml:space="preserve">, </w:t>
      </w:r>
      <w:r w:rsidR="001C3EEA">
        <w:rPr>
          <w:rFonts w:ascii="David" w:hAnsi="David" w:cs="David" w:hint="cs"/>
          <w:rtl/>
        </w:rPr>
        <w:t xml:space="preserve">פרק </w:t>
      </w:r>
      <w:r w:rsidR="00D11BA5" w:rsidRPr="00E65CFF">
        <w:rPr>
          <w:rFonts w:ascii="David" w:hAnsi="David" w:cs="David"/>
          <w:rtl/>
        </w:rPr>
        <w:t xml:space="preserve"> הזמן </w:t>
      </w:r>
      <w:r w:rsidR="006761CB" w:rsidRPr="00E65CFF">
        <w:rPr>
          <w:rFonts w:ascii="David" w:hAnsi="David" w:cs="David" w:hint="cs"/>
          <w:rtl/>
        </w:rPr>
        <w:t xml:space="preserve">לסיום </w:t>
      </w:r>
      <w:r w:rsidR="00D11BA5" w:rsidRPr="00E65CFF">
        <w:rPr>
          <w:rFonts w:ascii="David" w:hAnsi="David" w:cs="David"/>
          <w:rtl/>
        </w:rPr>
        <w:t xml:space="preserve">התיישנות </w:t>
      </w:r>
      <w:r w:rsidR="006761CB" w:rsidRPr="00E65CFF">
        <w:rPr>
          <w:rFonts w:ascii="David" w:hAnsi="David" w:cs="David" w:hint="cs"/>
          <w:rtl/>
        </w:rPr>
        <w:t xml:space="preserve">הינו </w:t>
      </w:r>
      <w:r w:rsidR="00492E9C" w:rsidRPr="00E65CFF">
        <w:rPr>
          <w:rFonts w:ascii="David" w:hAnsi="David" w:cs="David"/>
          <w:rtl/>
        </w:rPr>
        <w:t xml:space="preserve"> 7 שנים </w:t>
      </w:r>
      <w:r w:rsidR="006761CB" w:rsidRPr="00E65CFF">
        <w:rPr>
          <w:rFonts w:ascii="David" w:hAnsi="David" w:cs="David" w:hint="cs"/>
          <w:rtl/>
        </w:rPr>
        <w:t xml:space="preserve"> לאחר מועד זה.</w:t>
      </w:r>
      <w:r w:rsidR="00E65CFF" w:rsidRPr="00E65CFF">
        <w:rPr>
          <w:rFonts w:ascii="David" w:hAnsi="David" w:cs="David" w:hint="cs"/>
          <w:rtl/>
        </w:rPr>
        <w:t xml:space="preserve"> </w:t>
      </w:r>
      <w:r w:rsidR="001C3EEA">
        <w:rPr>
          <w:rFonts w:ascii="David" w:hAnsi="David" w:cs="David" w:hint="cs"/>
          <w:b/>
          <w:bCs/>
          <w:rtl/>
        </w:rPr>
        <w:t>לפי</w:t>
      </w:r>
      <w:r w:rsidR="00CD3449">
        <w:rPr>
          <w:rFonts w:ascii="David" w:hAnsi="David" w:cs="David" w:hint="cs"/>
          <w:b/>
          <w:bCs/>
          <w:rtl/>
        </w:rPr>
        <w:t>כך, ה</w:t>
      </w:r>
      <w:r w:rsidR="008F7FF9" w:rsidRPr="000E3DA6">
        <w:rPr>
          <w:rFonts w:ascii="David" w:hAnsi="David" w:cs="David"/>
          <w:b/>
          <w:bCs/>
          <w:rtl/>
        </w:rPr>
        <w:t xml:space="preserve">מועד </w:t>
      </w:r>
      <w:r w:rsidR="00CD3449">
        <w:rPr>
          <w:rFonts w:ascii="David" w:hAnsi="David" w:cs="David" w:hint="cs"/>
          <w:b/>
          <w:bCs/>
          <w:rtl/>
        </w:rPr>
        <w:t>ל</w:t>
      </w:r>
      <w:r w:rsidR="008F7FF9" w:rsidRPr="000E3DA6">
        <w:rPr>
          <w:rFonts w:ascii="David" w:hAnsi="David" w:cs="David"/>
          <w:b/>
          <w:bCs/>
          <w:rtl/>
        </w:rPr>
        <w:t xml:space="preserve">התיישנות </w:t>
      </w:r>
      <w:r w:rsidR="00CD3449">
        <w:rPr>
          <w:rFonts w:ascii="David" w:hAnsi="David" w:cs="David" w:hint="cs"/>
          <w:b/>
          <w:bCs/>
          <w:rtl/>
        </w:rPr>
        <w:t>ה</w:t>
      </w:r>
      <w:r w:rsidR="000E3DA6" w:rsidRPr="000E3DA6">
        <w:rPr>
          <w:rFonts w:ascii="David" w:hAnsi="David" w:cs="David" w:hint="cs"/>
          <w:b/>
          <w:bCs/>
          <w:rtl/>
        </w:rPr>
        <w:t>תביעה לאיזון משאבים</w:t>
      </w:r>
      <w:r w:rsidR="008F7FF9" w:rsidRPr="000E3DA6">
        <w:rPr>
          <w:rFonts w:ascii="David" w:hAnsi="David" w:cs="David"/>
          <w:b/>
          <w:bCs/>
          <w:rtl/>
        </w:rPr>
        <w:t xml:space="preserve"> חל ביום</w:t>
      </w:r>
      <w:r w:rsidR="00492E9C" w:rsidRPr="000E3DA6">
        <w:rPr>
          <w:rFonts w:ascii="David" w:hAnsi="David" w:cs="David"/>
          <w:b/>
          <w:bCs/>
          <w:rtl/>
        </w:rPr>
        <w:t xml:space="preserve"> 3.9.2022</w:t>
      </w:r>
      <w:r w:rsidR="008F7FF9" w:rsidRPr="000E3DA6">
        <w:rPr>
          <w:rFonts w:ascii="David" w:hAnsi="David" w:cs="David"/>
          <w:b/>
          <w:bCs/>
          <w:rtl/>
        </w:rPr>
        <w:t>,</w:t>
      </w:r>
      <w:r w:rsidR="008F7FF9" w:rsidRPr="00E65CFF">
        <w:rPr>
          <w:rFonts w:ascii="David" w:hAnsi="David" w:cs="David"/>
          <w:rtl/>
        </w:rPr>
        <w:t xml:space="preserve"> דהיינו </w:t>
      </w:r>
      <w:r w:rsidR="00492E9C" w:rsidRPr="00E65CFF">
        <w:rPr>
          <w:rFonts w:ascii="David" w:hAnsi="David" w:cs="David"/>
          <w:rtl/>
        </w:rPr>
        <w:t xml:space="preserve">כשלושה חודשים </w:t>
      </w:r>
      <w:r w:rsidR="008F7FF9" w:rsidRPr="00E65CFF">
        <w:rPr>
          <w:rFonts w:ascii="David" w:hAnsi="David" w:cs="David"/>
          <w:rtl/>
        </w:rPr>
        <w:t xml:space="preserve">לפני </w:t>
      </w:r>
      <w:r w:rsidR="00492E9C" w:rsidRPr="00E65CFF">
        <w:rPr>
          <w:rFonts w:ascii="David" w:hAnsi="David" w:cs="David"/>
          <w:rtl/>
        </w:rPr>
        <w:t>הגשת התביעה זו בחודש י</w:t>
      </w:r>
      <w:r w:rsidR="00EF07F9" w:rsidRPr="00E65CFF">
        <w:rPr>
          <w:rFonts w:ascii="David" w:hAnsi="David" w:cs="David"/>
          <w:rtl/>
        </w:rPr>
        <w:t>נ</w:t>
      </w:r>
      <w:r w:rsidR="006761CB" w:rsidRPr="00E65CFF">
        <w:rPr>
          <w:rFonts w:ascii="David" w:hAnsi="David" w:cs="David"/>
          <w:rtl/>
        </w:rPr>
        <w:t>ואר 2023</w:t>
      </w:r>
      <w:r w:rsidR="006761CB" w:rsidRPr="00E65CFF">
        <w:rPr>
          <w:rFonts w:ascii="David" w:hAnsi="David" w:cs="David" w:hint="cs"/>
          <w:rtl/>
        </w:rPr>
        <w:t>.</w:t>
      </w:r>
    </w:p>
    <w:p w:rsidR="000E3DA6" w:rsidRPr="000E3DA6" w:rsidRDefault="000E3DA6" w:rsidP="000E3DA6">
      <w:pPr>
        <w:pStyle w:val="ad"/>
        <w:rPr>
          <w:rFonts w:ascii="David" w:hAnsi="David" w:cs="David"/>
          <w:rtl/>
        </w:rPr>
      </w:pPr>
    </w:p>
    <w:p w:rsidR="000E3DA6" w:rsidRPr="003F163B" w:rsidRDefault="000E3DA6" w:rsidP="00CD3449">
      <w:pPr>
        <w:pStyle w:val="ad"/>
        <w:numPr>
          <w:ilvl w:val="0"/>
          <w:numId w:val="2"/>
        </w:numPr>
        <w:spacing w:line="360" w:lineRule="auto"/>
        <w:jc w:val="both"/>
        <w:rPr>
          <w:rFonts w:ascii="David" w:hAnsi="David" w:cs="David"/>
          <w:rtl/>
        </w:rPr>
      </w:pPr>
      <w:r>
        <w:rPr>
          <w:rFonts w:ascii="David" w:hAnsi="David" w:cs="David" w:hint="cs"/>
          <w:rtl/>
        </w:rPr>
        <w:t>עם מותו של ה</w:t>
      </w:r>
      <w:r w:rsidR="00CD3449">
        <w:rPr>
          <w:rFonts w:ascii="David" w:hAnsi="David" w:cs="David" w:hint="cs"/>
          <w:rtl/>
        </w:rPr>
        <w:t>מנוח</w:t>
      </w:r>
      <w:r>
        <w:rPr>
          <w:rFonts w:ascii="David" w:hAnsi="David" w:cs="David" w:hint="cs"/>
          <w:rtl/>
        </w:rPr>
        <w:t>, ה</w:t>
      </w:r>
      <w:r w:rsidR="00CD3449">
        <w:rPr>
          <w:rFonts w:ascii="David" w:hAnsi="David" w:cs="David" w:hint="cs"/>
          <w:rtl/>
        </w:rPr>
        <w:t xml:space="preserve">יורשים </w:t>
      </w:r>
      <w:r>
        <w:rPr>
          <w:rFonts w:ascii="David" w:hAnsi="David" w:cs="David" w:hint="cs"/>
          <w:rtl/>
        </w:rPr>
        <w:t>נכנסים לנעליו של המנוח</w:t>
      </w:r>
      <w:r w:rsidR="00CD3449">
        <w:rPr>
          <w:rFonts w:ascii="David" w:hAnsi="David" w:cs="David" w:hint="cs"/>
          <w:rtl/>
        </w:rPr>
        <w:t>, גם</w:t>
      </w:r>
      <w:r>
        <w:rPr>
          <w:rFonts w:ascii="David" w:hAnsi="David" w:cs="David" w:hint="cs"/>
          <w:rtl/>
        </w:rPr>
        <w:t xml:space="preserve"> ל</w:t>
      </w:r>
      <w:r w:rsidR="003F163B">
        <w:rPr>
          <w:rFonts w:ascii="David" w:hAnsi="David" w:cs="David" w:hint="cs"/>
          <w:rtl/>
        </w:rPr>
        <w:t>צורך ביצוע איזון משאבים</w:t>
      </w:r>
      <w:r w:rsidR="00CD3449">
        <w:rPr>
          <w:rFonts w:ascii="David" w:hAnsi="David" w:cs="David" w:hint="cs"/>
          <w:rtl/>
        </w:rPr>
        <w:t>.</w:t>
      </w:r>
      <w:r w:rsidR="003F163B">
        <w:rPr>
          <w:rFonts w:ascii="David" w:hAnsi="David" w:cs="David" w:hint="cs"/>
          <w:rtl/>
        </w:rPr>
        <w:t xml:space="preserve"> עם זאת </w:t>
      </w:r>
      <w:r w:rsidR="003F163B" w:rsidRPr="00CD3449">
        <w:rPr>
          <w:rFonts w:ascii="David" w:hAnsi="David" w:cs="David" w:hint="cs"/>
          <w:u w:val="single"/>
          <w:rtl/>
        </w:rPr>
        <w:t xml:space="preserve">נקבע בפסיקה כי </w:t>
      </w:r>
      <w:r w:rsidR="003F163B" w:rsidRPr="00CD3449">
        <w:rPr>
          <w:rFonts w:ascii="David" w:hAnsi="David" w:cs="David"/>
          <w:u w:val="single"/>
          <w:rtl/>
        </w:rPr>
        <w:t>עם כניסת היורשים לנעלי המנוח לא עומדת להם זכות תביעה טובה יותר מזו שהייתה למנוח עצמ</w:t>
      </w:r>
      <w:r w:rsidR="003F163B" w:rsidRPr="00CD3449">
        <w:rPr>
          <w:rFonts w:ascii="David" w:hAnsi="David" w:cs="David" w:hint="cs"/>
          <w:u w:val="single"/>
          <w:rtl/>
        </w:rPr>
        <w:t>ו</w:t>
      </w:r>
      <w:r w:rsidR="003F163B" w:rsidRPr="00CD3449">
        <w:rPr>
          <w:rFonts w:ascii="David" w:hAnsi="David" w:cs="David"/>
          <w:u w:val="single"/>
          <w:rtl/>
        </w:rPr>
        <w:t>, ל</w:t>
      </w:r>
      <w:r w:rsidR="003F163B" w:rsidRPr="00CD3449">
        <w:rPr>
          <w:rFonts w:ascii="David" w:hAnsi="David" w:cs="David" w:hint="cs"/>
          <w:u w:val="single"/>
          <w:rtl/>
        </w:rPr>
        <w:t>כן</w:t>
      </w:r>
      <w:r w:rsidR="003F163B" w:rsidRPr="00CD3449">
        <w:rPr>
          <w:rFonts w:ascii="David" w:hAnsi="David" w:cs="David"/>
          <w:u w:val="single"/>
          <w:rtl/>
        </w:rPr>
        <w:t>, מקום בו תביעת המנוח</w:t>
      </w:r>
      <w:r w:rsidR="003F163B" w:rsidRPr="00CD3449">
        <w:rPr>
          <w:rFonts w:ascii="David" w:hAnsi="David" w:cs="David" w:hint="cs"/>
          <w:u w:val="single"/>
          <w:rtl/>
        </w:rPr>
        <w:t xml:space="preserve"> ככל שהייתה מוגשת במצב בו פקיעת הנישואים הייתה מתרחשת ביום 3.9.15 בעודו חי </w:t>
      </w:r>
      <w:r w:rsidR="00AC259A" w:rsidRPr="00CD3449">
        <w:rPr>
          <w:rFonts w:ascii="David" w:hAnsi="David" w:cs="David" w:hint="cs"/>
          <w:u w:val="single"/>
          <w:rtl/>
        </w:rPr>
        <w:t>הייתה מתיישנת ביום 3.9.22. ברור כי לאחר מועד זה לא עומדת ליורשיו</w:t>
      </w:r>
      <w:r w:rsidR="003F163B" w:rsidRPr="00CD3449">
        <w:rPr>
          <w:rFonts w:ascii="David" w:hAnsi="David" w:cs="David"/>
          <w:u w:val="single"/>
          <w:rtl/>
        </w:rPr>
        <w:t xml:space="preserve"> הזכות לתבוע.</w:t>
      </w:r>
      <w:r w:rsidR="003F163B" w:rsidRPr="003F163B">
        <w:rPr>
          <w:rFonts w:ascii="David" w:hAnsi="David" w:cs="David"/>
          <w:rtl/>
        </w:rPr>
        <w:t xml:space="preserve">(ראה ע"א 5774/91 </w:t>
      </w:r>
      <w:r w:rsidR="003F163B" w:rsidRPr="003F163B">
        <w:rPr>
          <w:rFonts w:ascii="David" w:hAnsi="David" w:cs="David"/>
          <w:b/>
          <w:bCs/>
          <w:rtl/>
        </w:rPr>
        <w:t xml:space="preserve">יהלום נגד מנהל מס שבח </w:t>
      </w:r>
      <w:r w:rsidR="003F163B" w:rsidRPr="003F163B">
        <w:rPr>
          <w:rFonts w:ascii="David" w:hAnsi="David" w:cs="David"/>
          <w:rtl/>
        </w:rPr>
        <w:t>פורסם בנבו 1994).</w:t>
      </w:r>
    </w:p>
    <w:p w:rsidR="00397440" w:rsidRPr="00521374" w:rsidRDefault="00397440" w:rsidP="00EF07F9">
      <w:pPr>
        <w:spacing w:line="360" w:lineRule="auto"/>
        <w:ind w:left="643"/>
        <w:jc w:val="both"/>
        <w:rPr>
          <w:rFonts w:ascii="David" w:hAnsi="David"/>
          <w:rtl/>
        </w:rPr>
      </w:pPr>
    </w:p>
    <w:p w:rsidR="00B02E09" w:rsidRPr="00EF07F9" w:rsidRDefault="00C755F1" w:rsidP="006A19A4">
      <w:pPr>
        <w:pStyle w:val="ad"/>
        <w:numPr>
          <w:ilvl w:val="0"/>
          <w:numId w:val="2"/>
        </w:numPr>
        <w:spacing w:line="360" w:lineRule="auto"/>
        <w:jc w:val="both"/>
        <w:rPr>
          <w:rFonts w:ascii="David" w:hAnsi="David" w:cs="David"/>
          <w:rtl/>
        </w:rPr>
      </w:pPr>
      <w:r>
        <w:rPr>
          <w:rFonts w:ascii="David" w:hAnsi="David" w:cs="David" w:hint="cs"/>
          <w:rtl/>
        </w:rPr>
        <w:t>למעלה מן הצורך, אף אבחן את טענות ה</w:t>
      </w:r>
      <w:r w:rsidR="006A19A4">
        <w:rPr>
          <w:rFonts w:ascii="David" w:hAnsi="David" w:cs="David" w:hint="cs"/>
          <w:rtl/>
        </w:rPr>
        <w:t>צדדים ביחס</w:t>
      </w:r>
      <w:r>
        <w:rPr>
          <w:rFonts w:ascii="David" w:hAnsi="David" w:cs="David" w:hint="cs"/>
          <w:rtl/>
        </w:rPr>
        <w:t xml:space="preserve"> </w:t>
      </w:r>
      <w:r w:rsidR="006A19A4">
        <w:rPr>
          <w:rFonts w:ascii="David" w:hAnsi="David" w:cs="David" w:hint="cs"/>
          <w:rtl/>
        </w:rPr>
        <w:t>ל</w:t>
      </w:r>
      <w:r>
        <w:rPr>
          <w:rFonts w:ascii="David" w:hAnsi="David" w:cs="David" w:hint="cs"/>
          <w:rtl/>
        </w:rPr>
        <w:t xml:space="preserve">מועד ההתיישנות לפי </w:t>
      </w:r>
      <w:r w:rsidR="00B02E09" w:rsidRPr="00EF07F9">
        <w:rPr>
          <w:rFonts w:ascii="David" w:hAnsi="David" w:cs="David"/>
          <w:rtl/>
        </w:rPr>
        <w:t xml:space="preserve">חוק הירושה, תשכ"ה- </w:t>
      </w:r>
      <w:r>
        <w:rPr>
          <w:rFonts w:ascii="David" w:hAnsi="David" w:cs="David" w:hint="cs"/>
          <w:rtl/>
        </w:rPr>
        <w:t>1</w:t>
      </w:r>
      <w:r w:rsidR="00B02E09" w:rsidRPr="00EF07F9">
        <w:rPr>
          <w:rFonts w:ascii="David" w:hAnsi="David" w:cs="David"/>
          <w:rtl/>
        </w:rPr>
        <w:t>965</w:t>
      </w:r>
      <w:r>
        <w:rPr>
          <w:rFonts w:ascii="David" w:hAnsi="David" w:cs="David" w:hint="cs"/>
          <w:rtl/>
        </w:rPr>
        <w:t xml:space="preserve">, </w:t>
      </w:r>
      <w:r w:rsidR="006A19A4">
        <w:rPr>
          <w:rFonts w:ascii="David" w:hAnsi="David" w:cs="David" w:hint="cs"/>
          <w:rtl/>
        </w:rPr>
        <w:t>ב</w:t>
      </w:r>
      <w:r w:rsidR="00B02E09" w:rsidRPr="00EF07F9">
        <w:rPr>
          <w:rFonts w:ascii="David" w:hAnsi="David" w:cs="David"/>
          <w:rtl/>
        </w:rPr>
        <w:t>סעי</w:t>
      </w:r>
      <w:r w:rsidR="00E6101F" w:rsidRPr="00EF07F9">
        <w:rPr>
          <w:rFonts w:ascii="David" w:hAnsi="David" w:cs="David"/>
          <w:rtl/>
        </w:rPr>
        <w:t>ף</w:t>
      </w:r>
      <w:r w:rsidR="00B02E09" w:rsidRPr="00EF07F9">
        <w:rPr>
          <w:rFonts w:ascii="David" w:hAnsi="David" w:cs="David"/>
          <w:rtl/>
        </w:rPr>
        <w:t xml:space="preserve"> 2 להוראות הכלליות נקבע כדלקמן:</w:t>
      </w:r>
    </w:p>
    <w:p w:rsidR="00D11BA5" w:rsidRDefault="00D11BA5" w:rsidP="004D6248">
      <w:pPr>
        <w:spacing w:line="360" w:lineRule="auto"/>
        <w:ind w:left="643"/>
        <w:jc w:val="both"/>
        <w:rPr>
          <w:rFonts w:ascii="David" w:hAnsi="David"/>
          <w:b/>
          <w:bCs/>
          <w:color w:val="000000"/>
          <w:shd w:val="clear" w:color="auto" w:fill="FFFFFF"/>
          <w:rtl/>
        </w:rPr>
      </w:pPr>
    </w:p>
    <w:p w:rsidR="004D6248" w:rsidRDefault="00B02E09" w:rsidP="004D6248">
      <w:pPr>
        <w:spacing w:line="360" w:lineRule="auto"/>
        <w:ind w:left="643"/>
        <w:jc w:val="both"/>
        <w:rPr>
          <w:rFonts w:ascii="David" w:hAnsi="David"/>
          <w:b/>
          <w:bCs/>
          <w:rtl/>
        </w:rPr>
      </w:pPr>
      <w:r w:rsidRPr="00CD3449">
        <w:rPr>
          <w:rFonts w:ascii="David" w:hAnsi="David"/>
          <w:b/>
          <w:bCs/>
          <w:color w:val="000000"/>
          <w:u w:val="single"/>
          <w:shd w:val="clear" w:color="auto" w:fill="FFFFFF"/>
          <w:rtl/>
        </w:rPr>
        <w:t>היורשים הם יורשים על פי דין</w:t>
      </w:r>
      <w:r w:rsidRPr="00EF07F9">
        <w:rPr>
          <w:rFonts w:ascii="David" w:hAnsi="David"/>
          <w:b/>
          <w:bCs/>
          <w:color w:val="000000"/>
          <w:shd w:val="clear" w:color="auto" w:fill="FFFFFF"/>
          <w:rtl/>
        </w:rPr>
        <w:t xml:space="preserve"> </w:t>
      </w:r>
      <w:r w:rsidRPr="00CD3449">
        <w:rPr>
          <w:rFonts w:ascii="David" w:hAnsi="David"/>
          <w:b/>
          <w:bCs/>
          <w:color w:val="000000"/>
          <w:u w:val="single"/>
          <w:shd w:val="clear" w:color="auto" w:fill="FFFFFF"/>
          <w:rtl/>
        </w:rPr>
        <w:t>או</w:t>
      </w:r>
      <w:r w:rsidRPr="00EF07F9">
        <w:rPr>
          <w:rFonts w:ascii="David" w:hAnsi="David"/>
          <w:b/>
          <w:bCs/>
          <w:color w:val="000000"/>
          <w:shd w:val="clear" w:color="auto" w:fill="FFFFFF"/>
          <w:rtl/>
        </w:rPr>
        <w:t xml:space="preserve"> זוכים על פי צוואה; הירושה היא על פי דין זולת במידה שהיא על פי צוואה</w:t>
      </w:r>
      <w:r w:rsidRPr="00EF07F9">
        <w:rPr>
          <w:rFonts w:ascii="David" w:hAnsi="David"/>
          <w:b/>
          <w:bCs/>
          <w:color w:val="000000"/>
          <w:shd w:val="clear" w:color="auto" w:fill="FFFFFF"/>
        </w:rPr>
        <w:t>.</w:t>
      </w:r>
      <w:r w:rsidR="00E6101F" w:rsidRPr="00EF07F9">
        <w:rPr>
          <w:rFonts w:ascii="David" w:hAnsi="David"/>
          <w:b/>
          <w:bCs/>
          <w:rtl/>
        </w:rPr>
        <w:t xml:space="preserve"> </w:t>
      </w:r>
      <w:r w:rsidRPr="00EF07F9">
        <w:rPr>
          <w:rFonts w:ascii="David" w:hAnsi="David"/>
          <w:rtl/>
        </w:rPr>
        <w:t xml:space="preserve">בהמשך </w:t>
      </w:r>
      <w:r w:rsidR="00E6101F" w:rsidRPr="00EF07F9">
        <w:rPr>
          <w:rFonts w:ascii="David" w:hAnsi="David"/>
          <w:rtl/>
        </w:rPr>
        <w:t xml:space="preserve">מפרט </w:t>
      </w:r>
      <w:r w:rsidRPr="00EF07F9">
        <w:rPr>
          <w:rFonts w:ascii="David" w:hAnsi="David"/>
          <w:rtl/>
        </w:rPr>
        <w:t xml:space="preserve">סעיף 10 </w:t>
      </w:r>
      <w:r w:rsidR="00E6101F" w:rsidRPr="00EF07F9">
        <w:rPr>
          <w:rFonts w:ascii="David" w:hAnsi="David"/>
          <w:rtl/>
        </w:rPr>
        <w:t>לחוק מי נכלל כ</w:t>
      </w:r>
      <w:r w:rsidRPr="00EF07F9">
        <w:rPr>
          <w:rFonts w:ascii="David" w:hAnsi="David"/>
          <w:rtl/>
        </w:rPr>
        <w:t>יורש על פי דין</w:t>
      </w:r>
      <w:r w:rsidR="00E6101F" w:rsidRPr="00EF07F9">
        <w:rPr>
          <w:rFonts w:ascii="David" w:hAnsi="David"/>
          <w:rtl/>
        </w:rPr>
        <w:t xml:space="preserve"> מבני המשפחה</w:t>
      </w:r>
      <w:r w:rsidR="00EF07F9">
        <w:rPr>
          <w:rFonts w:ascii="David" w:hAnsi="David"/>
        </w:rPr>
        <w:t>.</w:t>
      </w:r>
    </w:p>
    <w:p w:rsidR="004D6248" w:rsidRPr="006A19A4" w:rsidRDefault="004D6248" w:rsidP="006A19A4">
      <w:pPr>
        <w:spacing w:line="360" w:lineRule="auto"/>
        <w:ind w:left="283" w:firstLine="360"/>
        <w:jc w:val="both"/>
        <w:rPr>
          <w:rFonts w:ascii="David" w:hAnsi="David"/>
        </w:rPr>
      </w:pPr>
      <w:r w:rsidRPr="006A19A4">
        <w:rPr>
          <w:rFonts w:ascii="David" w:hAnsi="David"/>
          <w:rtl/>
        </w:rPr>
        <w:t>יורשים על פי דין הם:</w:t>
      </w:r>
    </w:p>
    <w:p w:rsidR="004D6248" w:rsidRPr="004D6248" w:rsidRDefault="004D6248" w:rsidP="004D6248">
      <w:pPr>
        <w:pStyle w:val="ad"/>
        <w:numPr>
          <w:ilvl w:val="1"/>
          <w:numId w:val="2"/>
        </w:numPr>
        <w:spacing w:line="360" w:lineRule="auto"/>
        <w:jc w:val="both"/>
        <w:rPr>
          <w:rFonts w:ascii="David" w:hAnsi="David" w:cs="David"/>
        </w:rPr>
      </w:pPr>
      <w:r w:rsidRPr="004D6248">
        <w:rPr>
          <w:rFonts w:ascii="David" w:hAnsi="David" w:cs="David"/>
          <w:rtl/>
        </w:rPr>
        <w:t>מי שהיה במות המוריש בן זוגו</w:t>
      </w:r>
    </w:p>
    <w:p w:rsidR="004D6248" w:rsidRPr="004D6248" w:rsidRDefault="004D6248" w:rsidP="004D6248">
      <w:pPr>
        <w:pStyle w:val="ad"/>
        <w:numPr>
          <w:ilvl w:val="1"/>
          <w:numId w:val="2"/>
        </w:numPr>
        <w:spacing w:line="360" w:lineRule="auto"/>
        <w:jc w:val="both"/>
        <w:rPr>
          <w:rFonts w:ascii="David" w:hAnsi="David" w:cs="David"/>
        </w:rPr>
      </w:pPr>
      <w:r w:rsidRPr="004D6248">
        <w:rPr>
          <w:rFonts w:ascii="David" w:hAnsi="David" w:cs="David"/>
          <w:b/>
          <w:bCs/>
          <w:rtl/>
        </w:rPr>
        <w:t>ילדי המוריש וצאצאיהם</w:t>
      </w:r>
      <w:r w:rsidRPr="004D6248">
        <w:rPr>
          <w:rFonts w:ascii="David" w:hAnsi="David" w:cs="David"/>
          <w:rtl/>
        </w:rPr>
        <w:t>, הוריו וצאצאיהם.....</w:t>
      </w:r>
    </w:p>
    <w:p w:rsidR="00D11BA5" w:rsidRDefault="00D11BA5" w:rsidP="000A67D7">
      <w:pPr>
        <w:pStyle w:val="ad"/>
        <w:spacing w:line="360" w:lineRule="auto"/>
        <w:ind w:left="643"/>
        <w:jc w:val="both"/>
        <w:rPr>
          <w:rFonts w:ascii="David" w:hAnsi="David" w:cs="David"/>
          <w:rtl/>
        </w:rPr>
      </w:pPr>
    </w:p>
    <w:p w:rsidR="004D6248" w:rsidRDefault="008375D5" w:rsidP="008375D5">
      <w:pPr>
        <w:pStyle w:val="ad"/>
        <w:spacing w:line="360" w:lineRule="auto"/>
        <w:ind w:left="643"/>
        <w:jc w:val="both"/>
        <w:rPr>
          <w:rFonts w:ascii="David" w:hAnsi="David" w:cs="David"/>
          <w:rtl/>
        </w:rPr>
      </w:pPr>
      <w:r>
        <w:rPr>
          <w:rFonts w:ascii="David" w:hAnsi="David" w:cs="David" w:hint="cs"/>
          <w:rtl/>
        </w:rPr>
        <w:t>מכאן נלמד ש</w:t>
      </w:r>
      <w:r w:rsidR="004D6248" w:rsidRPr="004D6248">
        <w:rPr>
          <w:rFonts w:ascii="David" w:hAnsi="David" w:cs="David"/>
          <w:rtl/>
        </w:rPr>
        <w:t xml:space="preserve">אף </w:t>
      </w:r>
      <w:r w:rsidR="006A19A4">
        <w:rPr>
          <w:rFonts w:ascii="David" w:hAnsi="David" w:cs="David" w:hint="cs"/>
          <w:rtl/>
        </w:rPr>
        <w:t>ב</w:t>
      </w:r>
      <w:r w:rsidR="004D6248" w:rsidRPr="004D6248">
        <w:rPr>
          <w:rFonts w:ascii="David" w:hAnsi="David" w:cs="David"/>
          <w:rtl/>
        </w:rPr>
        <w:t xml:space="preserve">לא תלות בהגשת </w:t>
      </w:r>
      <w:r w:rsidR="008F7FF9">
        <w:rPr>
          <w:rFonts w:ascii="David" w:hAnsi="David" w:cs="David" w:hint="cs"/>
          <w:rtl/>
        </w:rPr>
        <w:t xml:space="preserve">בקשה לקיום </w:t>
      </w:r>
      <w:r w:rsidR="004D6248" w:rsidRPr="004D6248">
        <w:rPr>
          <w:rFonts w:ascii="David" w:hAnsi="David" w:cs="David"/>
          <w:rtl/>
        </w:rPr>
        <w:t>הצוואה</w:t>
      </w:r>
      <w:r w:rsidR="008F7FF9">
        <w:rPr>
          <w:rFonts w:ascii="David" w:hAnsi="David" w:cs="David" w:hint="cs"/>
          <w:rtl/>
        </w:rPr>
        <w:t xml:space="preserve"> מיום 17.8.97</w:t>
      </w:r>
      <w:r w:rsidR="004D6248" w:rsidRPr="004D6248">
        <w:rPr>
          <w:rFonts w:ascii="David" w:hAnsi="David" w:cs="David"/>
          <w:rtl/>
        </w:rPr>
        <w:t xml:space="preserve"> על ידי הנתבעת</w:t>
      </w:r>
      <w:r w:rsidR="008F7FF9">
        <w:rPr>
          <w:rFonts w:ascii="David" w:hAnsi="David" w:cs="David" w:hint="cs"/>
          <w:rtl/>
        </w:rPr>
        <w:t xml:space="preserve"> בשנת 2016</w:t>
      </w:r>
      <w:r w:rsidR="004D6248" w:rsidRPr="004D6248">
        <w:rPr>
          <w:rFonts w:ascii="David" w:hAnsi="David" w:cs="David"/>
          <w:rtl/>
        </w:rPr>
        <w:t xml:space="preserve">, </w:t>
      </w:r>
      <w:r w:rsidR="008F7FF9">
        <w:rPr>
          <w:rFonts w:ascii="David" w:hAnsi="David" w:cs="David" w:hint="cs"/>
          <w:rtl/>
        </w:rPr>
        <w:t>עמדה לזכותם של התובעים, ילדיו של המנוח</w:t>
      </w:r>
      <w:r w:rsidR="00CD3449">
        <w:rPr>
          <w:rFonts w:ascii="David" w:hAnsi="David" w:cs="David" w:hint="cs"/>
          <w:rtl/>
        </w:rPr>
        <w:t>, שלא יכולה להיות מחלוקת שהם יורשים על פי דין,</w:t>
      </w:r>
      <w:r w:rsidR="008F7FF9">
        <w:rPr>
          <w:rFonts w:ascii="David" w:hAnsi="David" w:cs="David" w:hint="cs"/>
          <w:rtl/>
        </w:rPr>
        <w:t xml:space="preserve"> </w:t>
      </w:r>
      <w:r w:rsidR="004D6248" w:rsidRPr="004D6248">
        <w:rPr>
          <w:rFonts w:ascii="David" w:hAnsi="David" w:cs="David"/>
          <w:rtl/>
        </w:rPr>
        <w:t xml:space="preserve">זכות </w:t>
      </w:r>
      <w:r w:rsidR="008F7FF9">
        <w:rPr>
          <w:rFonts w:ascii="David" w:hAnsi="David" w:cs="David" w:hint="cs"/>
          <w:rtl/>
        </w:rPr>
        <w:t xml:space="preserve">עילה עצמאית </w:t>
      </w:r>
      <w:r w:rsidR="001C6B1F">
        <w:rPr>
          <w:rFonts w:ascii="David" w:hAnsi="David" w:cs="David" w:hint="cs"/>
          <w:rtl/>
        </w:rPr>
        <w:t xml:space="preserve">מכוח היותם יורשים על פי דין </w:t>
      </w:r>
      <w:r w:rsidR="000A67D7">
        <w:rPr>
          <w:rFonts w:ascii="David" w:hAnsi="David" w:cs="David" w:hint="cs"/>
          <w:rtl/>
        </w:rPr>
        <w:t>של המנוח, זכות שנולדה מיד עם פטירתו של האב.</w:t>
      </w:r>
    </w:p>
    <w:p w:rsidR="00397440" w:rsidRDefault="00397440" w:rsidP="001C6B1F">
      <w:pPr>
        <w:pStyle w:val="ad"/>
        <w:spacing w:line="360" w:lineRule="auto"/>
        <w:ind w:left="643"/>
        <w:jc w:val="both"/>
        <w:rPr>
          <w:rFonts w:ascii="David" w:hAnsi="David" w:cs="David"/>
          <w:rtl/>
        </w:rPr>
      </w:pPr>
    </w:p>
    <w:p w:rsidR="006761CB" w:rsidRDefault="006761CB" w:rsidP="006761CB">
      <w:pPr>
        <w:pStyle w:val="10"/>
        <w:numPr>
          <w:ilvl w:val="0"/>
          <w:numId w:val="2"/>
        </w:numPr>
        <w:bidi/>
        <w:spacing w:before="0" w:beforeAutospacing="0" w:after="0" w:afterAutospacing="0" w:line="360" w:lineRule="auto"/>
        <w:jc w:val="both"/>
        <w:rPr>
          <w:rFonts w:ascii="David" w:hAnsi="David" w:cs="David"/>
        </w:rPr>
      </w:pPr>
      <w:r>
        <w:rPr>
          <w:rFonts w:ascii="David" w:hAnsi="David" w:cs="David"/>
          <w:color w:val="000000"/>
          <w:rtl/>
        </w:rPr>
        <w:t>אכן</w:t>
      </w:r>
      <w:r w:rsidR="008375D5">
        <w:rPr>
          <w:rFonts w:ascii="David" w:hAnsi="David" w:cs="David" w:hint="cs"/>
          <w:color w:val="000000"/>
          <w:rtl/>
        </w:rPr>
        <w:t>,</w:t>
      </w:r>
      <w:r>
        <w:rPr>
          <w:rFonts w:ascii="David" w:hAnsi="David" w:cs="David"/>
          <w:color w:val="000000"/>
          <w:rtl/>
        </w:rPr>
        <w:t xml:space="preserve"> לא בנקל יקבל בית משפט בקשה לסילוקו של הליך על הסף ומדובר בצעד קיצוני שמשמעותו היא, שאין מתירים לצד לשטוח טענותיו בפני בית המשפט. בקשה שכזו תתקבל רק מקום שבית משפט יהיה משוכנע שהתביעה עומדת במסגרת אחת החלופות המנויות </w:t>
      </w:r>
      <w:r w:rsidRPr="00B45B90">
        <w:rPr>
          <w:rFonts w:ascii="David" w:hAnsi="David" w:cs="David"/>
          <w:rtl/>
        </w:rPr>
        <w:t>בתקנה 41-43</w:t>
      </w:r>
      <w:r>
        <w:rPr>
          <w:rFonts w:ascii="David" w:hAnsi="David" w:cs="David"/>
        </w:rPr>
        <w:t xml:space="preserve"> </w:t>
      </w:r>
      <w:r>
        <w:rPr>
          <w:rFonts w:ascii="David" w:hAnsi="David" w:cs="David"/>
          <w:b/>
          <w:bCs/>
          <w:rtl/>
        </w:rPr>
        <w:t>ל</w:t>
      </w:r>
      <w:r w:rsidRPr="00B45B90">
        <w:rPr>
          <w:rFonts w:ascii="David" w:hAnsi="David" w:cs="David"/>
          <w:b/>
          <w:bCs/>
          <w:rtl/>
        </w:rPr>
        <w:t>תקנות סדר הדין האזרחי, תשע"ט</w:t>
      </w:r>
      <w:r>
        <w:rPr>
          <w:rFonts w:ascii="David" w:hAnsi="David" w:cs="David"/>
          <w:b/>
          <w:bCs/>
        </w:rPr>
        <w:t>-</w:t>
      </w:r>
      <w:r>
        <w:rPr>
          <w:rFonts w:ascii="David" w:hAnsi="David" w:cs="David"/>
          <w:b/>
          <w:bCs/>
          <w:rtl/>
        </w:rPr>
        <w:t xml:space="preserve"> </w:t>
      </w:r>
      <w:r>
        <w:rPr>
          <w:rFonts w:ascii="David" w:hAnsi="David" w:cs="David" w:hint="cs"/>
          <w:b/>
          <w:bCs/>
          <w:rtl/>
        </w:rPr>
        <w:t>2018</w:t>
      </w:r>
      <w:r>
        <w:rPr>
          <w:rFonts w:ascii="David" w:hAnsi="David" w:cs="David"/>
          <w:rtl/>
        </w:rPr>
        <w:t xml:space="preserve"> (להלן: תקנות </w:t>
      </w:r>
      <w:proofErr w:type="spellStart"/>
      <w:r>
        <w:rPr>
          <w:rFonts w:ascii="David" w:hAnsi="David" w:cs="David"/>
          <w:rtl/>
        </w:rPr>
        <w:t>סד"א</w:t>
      </w:r>
      <w:proofErr w:type="spellEnd"/>
      <w:r>
        <w:rPr>
          <w:rFonts w:ascii="David" w:hAnsi="David" w:cs="David"/>
          <w:rtl/>
        </w:rPr>
        <w:t>).</w:t>
      </w:r>
    </w:p>
    <w:p w:rsidR="006761CB" w:rsidRDefault="006761CB" w:rsidP="006761CB">
      <w:pPr>
        <w:spacing w:line="360" w:lineRule="auto"/>
        <w:ind w:left="720"/>
        <w:rPr>
          <w:rFonts w:ascii="David" w:hAnsi="David"/>
          <w:noProof w:val="0"/>
          <w:color w:val="000000"/>
          <w:rtl/>
        </w:rPr>
      </w:pPr>
      <w:r>
        <w:rPr>
          <w:rFonts w:ascii="David" w:hAnsi="David"/>
          <w:noProof w:val="0"/>
          <w:color w:val="000000"/>
          <w:rtl/>
        </w:rPr>
        <w:lastRenderedPageBreak/>
        <w:t xml:space="preserve"> </w:t>
      </w:r>
    </w:p>
    <w:p w:rsidR="006761CB" w:rsidRDefault="006761CB" w:rsidP="006761CB">
      <w:pPr>
        <w:pStyle w:val="10"/>
        <w:bidi/>
        <w:spacing w:before="0" w:beforeAutospacing="0" w:after="0" w:afterAutospacing="0" w:line="360" w:lineRule="auto"/>
        <w:ind w:left="786"/>
        <w:jc w:val="both"/>
        <w:rPr>
          <w:rFonts w:ascii="David" w:hAnsi="David" w:cs="David"/>
          <w:color w:val="000000"/>
          <w:rtl/>
        </w:rPr>
      </w:pPr>
      <w:r>
        <w:rPr>
          <w:rFonts w:ascii="David" w:hAnsi="David" w:cs="David"/>
          <w:color w:val="000000"/>
          <w:rtl/>
        </w:rPr>
        <w:t>לעניין זה ראו</w:t>
      </w:r>
      <w:r>
        <w:rPr>
          <w:rFonts w:ascii="David" w:hAnsi="David" w:cs="David"/>
          <w:rtl/>
        </w:rPr>
        <w:t xml:space="preserve"> </w:t>
      </w:r>
      <w:proofErr w:type="spellStart"/>
      <w:r w:rsidRPr="00B45B90">
        <w:rPr>
          <w:rFonts w:ascii="David" w:hAnsi="David" w:cs="David"/>
          <w:rtl/>
        </w:rPr>
        <w:t>ע''א</w:t>
      </w:r>
      <w:proofErr w:type="spellEnd"/>
      <w:r w:rsidRPr="00B45B90">
        <w:rPr>
          <w:rFonts w:ascii="David" w:hAnsi="David" w:cs="David"/>
          <w:rtl/>
        </w:rPr>
        <w:t xml:space="preserve"> 693/83</w:t>
      </w:r>
      <w:r>
        <w:rPr>
          <w:rFonts w:ascii="David" w:hAnsi="David" w:cs="David"/>
          <w:b/>
          <w:bCs/>
          <w:rtl/>
        </w:rPr>
        <w:t xml:space="preserve"> </w:t>
      </w:r>
      <w:r>
        <w:rPr>
          <w:rFonts w:ascii="David" w:hAnsi="David" w:cs="David" w:hint="cs"/>
          <w:b/>
          <w:bCs/>
          <w:color w:val="000000"/>
          <w:rtl/>
        </w:rPr>
        <w:t>שמש נ' רשם המקרקעין תל אביב – יפו ואח'</w:t>
      </w:r>
      <w:r>
        <w:rPr>
          <w:rFonts w:ascii="David" w:hAnsi="David" w:cs="David"/>
          <w:color w:val="000000"/>
          <w:rtl/>
        </w:rPr>
        <w:t xml:space="preserve">, מפי הנשיא שמגר </w:t>
      </w:r>
      <w:proofErr w:type="spellStart"/>
      <w:r>
        <w:rPr>
          <w:rFonts w:ascii="David" w:hAnsi="David" w:cs="David"/>
          <w:color w:val="000000"/>
          <w:rtl/>
        </w:rPr>
        <w:t>ז''ל</w:t>
      </w:r>
      <w:proofErr w:type="spellEnd"/>
      <w:r>
        <w:rPr>
          <w:rFonts w:ascii="David" w:hAnsi="David" w:cs="David"/>
          <w:color w:val="000000"/>
          <w:rtl/>
        </w:rPr>
        <w:t xml:space="preserve"> , כתוארו אז  , פורסם </w:t>
      </w:r>
      <w:proofErr w:type="spellStart"/>
      <w:r>
        <w:rPr>
          <w:rFonts w:ascii="David" w:hAnsi="David" w:cs="David"/>
          <w:color w:val="000000"/>
          <w:rtl/>
        </w:rPr>
        <w:t>בפד''י</w:t>
      </w:r>
      <w:proofErr w:type="spellEnd"/>
      <w:r>
        <w:rPr>
          <w:rFonts w:ascii="David" w:hAnsi="David" w:cs="David"/>
          <w:color w:val="000000"/>
          <w:rtl/>
        </w:rPr>
        <w:t xml:space="preserve"> מ(2) , 668, עמ' 602:</w:t>
      </w:r>
    </w:p>
    <w:p w:rsidR="006761CB" w:rsidRDefault="006761CB" w:rsidP="006761CB">
      <w:pPr>
        <w:pStyle w:val="10"/>
        <w:bidi/>
        <w:spacing w:before="0" w:beforeAutospacing="0" w:after="0" w:afterAutospacing="0" w:line="360" w:lineRule="auto"/>
        <w:ind w:left="786"/>
        <w:jc w:val="both"/>
        <w:rPr>
          <w:rFonts w:ascii="David" w:hAnsi="David" w:cs="David"/>
          <w:color w:val="000000"/>
          <w:rtl/>
        </w:rPr>
      </w:pPr>
    </w:p>
    <w:p w:rsidR="006761CB" w:rsidRDefault="006761CB" w:rsidP="006761CB">
      <w:pPr>
        <w:spacing w:line="360" w:lineRule="auto"/>
        <w:ind w:left="1134" w:right="851"/>
        <w:jc w:val="both"/>
        <w:rPr>
          <w:rFonts w:ascii="David" w:hAnsi="David"/>
          <w:noProof w:val="0"/>
          <w:color w:val="000000"/>
          <w:rtl/>
        </w:rPr>
      </w:pPr>
      <w:r>
        <w:rPr>
          <w:rFonts w:ascii="David" w:hAnsi="David"/>
          <w:b/>
          <w:bCs/>
          <w:noProof w:val="0"/>
          <w:color w:val="000000"/>
          <w:rtl/>
        </w:rPr>
        <w:t>"בשולי הדברים אוסיף, כי מחיקת תובענה או דחייתה על הסף הן בגדר אמצעים, הננקטים בלית ברירה, ופתרון ענייני של כל מחלוקת, לגופה, הוא לעולם עדיף. רצוי, על-כן, שבית המשפט יבכר תמיד דיון ענייני בפלוגתא על פני פתרון דיוני-</w:t>
      </w:r>
      <w:proofErr w:type="spellStart"/>
      <w:r>
        <w:rPr>
          <w:rFonts w:ascii="David" w:hAnsi="David"/>
          <w:b/>
          <w:bCs/>
          <w:noProof w:val="0"/>
          <w:color w:val="000000"/>
          <w:rtl/>
        </w:rPr>
        <w:t>פורמאליסטי</w:t>
      </w:r>
      <w:proofErr w:type="spellEnd"/>
      <w:r>
        <w:rPr>
          <w:rFonts w:ascii="David" w:hAnsi="David"/>
          <w:b/>
          <w:bCs/>
          <w:noProof w:val="0"/>
          <w:color w:val="000000"/>
          <w:rtl/>
        </w:rPr>
        <w:t>, אשר מהווה לפעמים סוף פסוק לתיק הקונקרטי, אולם אינו סוף הדרך מבחינת המשך ההתדיינות סביב אותו עניין."</w:t>
      </w:r>
    </w:p>
    <w:p w:rsidR="006761CB" w:rsidRDefault="006761CB" w:rsidP="006761CB">
      <w:pPr>
        <w:spacing w:line="360" w:lineRule="auto"/>
        <w:ind w:left="851" w:right="851"/>
        <w:jc w:val="both"/>
        <w:rPr>
          <w:rFonts w:ascii="David" w:hAnsi="David"/>
          <w:noProof w:val="0"/>
          <w:color w:val="000000"/>
          <w:rtl/>
        </w:rPr>
      </w:pPr>
      <w:r>
        <w:rPr>
          <w:rFonts w:ascii="David" w:hAnsi="David"/>
          <w:noProof w:val="0"/>
          <w:color w:val="000000"/>
          <w:rtl/>
        </w:rPr>
        <w:t xml:space="preserve"> </w:t>
      </w:r>
    </w:p>
    <w:p w:rsidR="006761CB" w:rsidRDefault="006761CB" w:rsidP="006761CB">
      <w:pPr>
        <w:spacing w:line="360" w:lineRule="auto"/>
        <w:ind w:left="1134" w:right="851"/>
        <w:jc w:val="both"/>
        <w:rPr>
          <w:rFonts w:ascii="David" w:hAnsi="David"/>
          <w:noProof w:val="0"/>
          <w:color w:val="000000"/>
          <w:rtl/>
        </w:rPr>
      </w:pPr>
      <w:r>
        <w:rPr>
          <w:rFonts w:ascii="David" w:hAnsi="David"/>
          <w:noProof w:val="0"/>
          <w:color w:val="000000"/>
          <w:rtl/>
        </w:rPr>
        <w:t xml:space="preserve">וכן ראו דברי המלומד גורן כי יש לעשות בסעד זה שימוש זהיר, </w:t>
      </w:r>
      <w:r>
        <w:rPr>
          <w:rFonts w:ascii="David" w:hAnsi="David"/>
          <w:b/>
          <w:bCs/>
          <w:noProof w:val="0"/>
          <w:color w:val="000000"/>
        </w:rPr>
        <w:t>"</w:t>
      </w:r>
      <w:r>
        <w:rPr>
          <w:rFonts w:ascii="David" w:hAnsi="David"/>
          <w:b/>
          <w:bCs/>
          <w:noProof w:val="0"/>
          <w:color w:val="000000"/>
          <w:rtl/>
        </w:rPr>
        <w:t>במקרים יוצאי דופן בלבד, כאשר אין ולו אפשרות קלושה שבירור התובענה לגופה יניב לתובע את הסעד המבוקש</w:t>
      </w:r>
      <w:r>
        <w:rPr>
          <w:rFonts w:ascii="David" w:hAnsi="David"/>
          <w:b/>
          <w:bCs/>
          <w:noProof w:val="0"/>
          <w:color w:val="000000"/>
        </w:rPr>
        <w:t>"</w:t>
      </w:r>
      <w:r>
        <w:rPr>
          <w:rFonts w:ascii="David" w:hAnsi="David"/>
          <w:b/>
          <w:bCs/>
          <w:noProof w:val="0"/>
          <w:color w:val="000000"/>
          <w:rtl/>
        </w:rPr>
        <w:t xml:space="preserve"> </w:t>
      </w:r>
      <w:r>
        <w:rPr>
          <w:rFonts w:ascii="David" w:hAnsi="David" w:hint="cs"/>
          <w:b/>
          <w:bCs/>
          <w:noProof w:val="0"/>
          <w:color w:val="000000"/>
          <w:rtl/>
        </w:rPr>
        <w:t>(</w:t>
      </w:r>
      <w:r>
        <w:rPr>
          <w:rFonts w:ascii="David" w:hAnsi="David"/>
          <w:noProof w:val="0"/>
          <w:color w:val="000000"/>
          <w:rtl/>
        </w:rPr>
        <w:t xml:space="preserve">א' גורן </w:t>
      </w:r>
      <w:r w:rsidRPr="00B45B90">
        <w:rPr>
          <w:rFonts w:ascii="David" w:hAnsi="David"/>
          <w:b/>
          <w:bCs/>
          <w:noProof w:val="0"/>
          <w:rtl/>
        </w:rPr>
        <w:t>סוגיות בסדר דין אזרחי</w:t>
      </w:r>
      <w:r>
        <w:rPr>
          <w:rFonts w:ascii="David" w:hAnsi="David"/>
          <w:b/>
          <w:bCs/>
          <w:noProof w:val="0"/>
        </w:rPr>
        <w:t xml:space="preserve"> </w:t>
      </w:r>
      <w:r>
        <w:rPr>
          <w:rFonts w:ascii="David" w:hAnsi="David"/>
          <w:noProof w:val="0"/>
        </w:rPr>
        <w:t xml:space="preserve">342 </w:t>
      </w:r>
      <w:r>
        <w:rPr>
          <w:rFonts w:ascii="David" w:hAnsi="David"/>
          <w:noProof w:val="0"/>
          <w:color w:val="000000"/>
          <w:rtl/>
        </w:rPr>
        <w:t>מהדורה 12, 2015).</w:t>
      </w:r>
    </w:p>
    <w:p w:rsidR="006761CB" w:rsidRDefault="006761CB" w:rsidP="006761CB">
      <w:pPr>
        <w:spacing w:line="360" w:lineRule="auto"/>
        <w:jc w:val="both"/>
        <w:rPr>
          <w:rFonts w:ascii="David" w:hAnsi="David"/>
          <w:noProof w:val="0"/>
          <w:color w:val="000000"/>
          <w:rtl/>
        </w:rPr>
      </w:pPr>
      <w:r>
        <w:rPr>
          <w:rFonts w:ascii="David" w:hAnsi="David"/>
          <w:noProof w:val="0"/>
          <w:color w:val="000000"/>
          <w:shd w:val="clear" w:color="auto" w:fill="FFFFFF"/>
          <w:rtl/>
        </w:rPr>
        <w:t xml:space="preserve">  </w:t>
      </w:r>
    </w:p>
    <w:p w:rsidR="006761CB" w:rsidRDefault="006761CB" w:rsidP="006761CB">
      <w:pPr>
        <w:pStyle w:val="10"/>
        <w:numPr>
          <w:ilvl w:val="0"/>
          <w:numId w:val="2"/>
        </w:numPr>
        <w:bidi/>
        <w:spacing w:before="0" w:beforeAutospacing="0" w:after="0" w:afterAutospacing="0" w:line="360" w:lineRule="auto"/>
        <w:jc w:val="both"/>
        <w:rPr>
          <w:rFonts w:ascii="David" w:hAnsi="David" w:cs="David"/>
          <w:color w:val="000000"/>
          <w:rtl/>
        </w:rPr>
      </w:pPr>
      <w:r>
        <w:rPr>
          <w:rFonts w:ascii="David" w:hAnsi="David" w:cs="David"/>
          <w:color w:val="000000"/>
          <w:shd w:val="clear" w:color="auto" w:fill="FFFFFF"/>
          <w:rtl/>
        </w:rPr>
        <w:t xml:space="preserve">סעד של סילוק על הסף מיועד למנוע בזבוז זמן שהיה נגרם לבית המשפט על-ידי בירור תובענה שתוצאתה ידועה מראש, ולעקור את התביעה מן השורש בטרם תשמע </w:t>
      </w:r>
      <w:r>
        <w:rPr>
          <w:rFonts w:ascii="David" w:hAnsi="David" w:cs="David"/>
          <w:color w:val="000000"/>
          <w:rtl/>
        </w:rPr>
        <w:t>(ד</w:t>
      </w:r>
      <w:r>
        <w:rPr>
          <w:rFonts w:ascii="David" w:hAnsi="David" w:cs="David"/>
          <w:color w:val="000000"/>
          <w:shd w:val="clear" w:color="auto" w:fill="FFFFFF"/>
        </w:rPr>
        <w:t>"</w:t>
      </w:r>
      <w:r>
        <w:rPr>
          <w:rFonts w:ascii="David" w:hAnsi="David" w:cs="David"/>
          <w:color w:val="000000"/>
          <w:shd w:val="clear" w:color="auto" w:fill="FFFFFF"/>
          <w:rtl/>
        </w:rPr>
        <w:t xml:space="preserve">ר י. זוסמן </w:t>
      </w:r>
      <w:hyperlink r:id="rId9" w:history="1">
        <w:r>
          <w:rPr>
            <w:rStyle w:val="Hyperlink"/>
            <w:rFonts w:ascii="David" w:hAnsi="David" w:cs="David"/>
            <w:b/>
            <w:bCs/>
            <w:color w:val="000000"/>
            <w:shd w:val="clear" w:color="auto" w:fill="FFFFFF"/>
            <w:rtl/>
          </w:rPr>
          <w:t>סדרי הדין האזרחי</w:t>
        </w:r>
      </w:hyperlink>
      <w:r>
        <w:rPr>
          <w:rFonts w:ascii="David" w:hAnsi="David" w:cs="David"/>
          <w:b/>
          <w:bCs/>
          <w:color w:val="000000"/>
          <w:shd w:val="clear" w:color="auto" w:fill="FFFFFF"/>
          <w:rtl/>
        </w:rPr>
        <w:t xml:space="preserve"> </w:t>
      </w:r>
      <w:r>
        <w:rPr>
          <w:rFonts w:ascii="David" w:hAnsi="David" w:cs="David"/>
          <w:color w:val="000000"/>
          <w:shd w:val="clear" w:color="auto" w:fill="FFFFFF"/>
          <w:rtl/>
        </w:rPr>
        <w:t>מהדורה שביעית, 1995).</w:t>
      </w:r>
    </w:p>
    <w:p w:rsidR="006761CB" w:rsidRDefault="006761CB" w:rsidP="006761CB">
      <w:pPr>
        <w:pStyle w:val="10"/>
        <w:bidi/>
        <w:spacing w:before="0" w:beforeAutospacing="0" w:after="0" w:afterAutospacing="0" w:line="360" w:lineRule="auto"/>
        <w:jc w:val="both"/>
        <w:rPr>
          <w:rFonts w:ascii="David" w:hAnsi="David" w:cs="David"/>
          <w:color w:val="000000"/>
          <w:rtl/>
        </w:rPr>
      </w:pPr>
    </w:p>
    <w:p w:rsidR="006761CB" w:rsidRDefault="006761CB" w:rsidP="00CD3449">
      <w:pPr>
        <w:pStyle w:val="Ruller4"/>
        <w:numPr>
          <w:ilvl w:val="0"/>
          <w:numId w:val="2"/>
        </w:numPr>
        <w:contextualSpacing/>
        <w:rPr>
          <w:rFonts w:ascii="David" w:hAnsi="David" w:cs="David"/>
          <w:szCs w:val="24"/>
          <w:rtl/>
        </w:rPr>
      </w:pPr>
      <w:r>
        <w:rPr>
          <w:rFonts w:ascii="David" w:hAnsi="David" w:cs="David"/>
          <w:szCs w:val="24"/>
          <w:rtl/>
        </w:rPr>
        <w:t xml:space="preserve">עם זאת, מצאתי כי המקרה שלפני נופל בגדר אותם מקרים חריגים המצדיקים מתן סעד של סילוק על הסף שכן בהליך שבפניי </w:t>
      </w:r>
      <w:r w:rsidR="00CD3449">
        <w:rPr>
          <w:rFonts w:ascii="David" w:hAnsi="David" w:cs="David" w:hint="cs"/>
          <w:szCs w:val="24"/>
          <w:rtl/>
        </w:rPr>
        <w:t>חלה</w:t>
      </w:r>
      <w:r>
        <w:rPr>
          <w:rFonts w:ascii="David" w:hAnsi="David" w:cs="David"/>
          <w:szCs w:val="24"/>
          <w:rtl/>
        </w:rPr>
        <w:t xml:space="preserve"> התיישנות המצדיקה את סילוקה של התביעה על הסף.</w:t>
      </w:r>
    </w:p>
    <w:p w:rsidR="006761CB" w:rsidRPr="00B45B90" w:rsidRDefault="006761CB" w:rsidP="00B45B90">
      <w:pPr>
        <w:spacing w:line="360" w:lineRule="auto"/>
        <w:jc w:val="both"/>
        <w:rPr>
          <w:rFonts w:ascii="David" w:hAnsi="David"/>
        </w:rPr>
      </w:pPr>
    </w:p>
    <w:p w:rsidR="001C6B1F" w:rsidRDefault="001C6B1F" w:rsidP="00B75852">
      <w:pPr>
        <w:pStyle w:val="ad"/>
        <w:numPr>
          <w:ilvl w:val="0"/>
          <w:numId w:val="2"/>
        </w:numPr>
        <w:spacing w:line="360" w:lineRule="auto"/>
        <w:jc w:val="both"/>
        <w:rPr>
          <w:rFonts w:ascii="David" w:hAnsi="David" w:cs="David"/>
        </w:rPr>
      </w:pPr>
      <w:r>
        <w:rPr>
          <w:rFonts w:ascii="David" w:hAnsi="David" w:cs="David" w:hint="cs"/>
          <w:rtl/>
        </w:rPr>
        <w:t>משמצאתי לקבל את טענת</w:t>
      </w:r>
      <w:r w:rsidR="000A67D7">
        <w:rPr>
          <w:rFonts w:ascii="David" w:hAnsi="David" w:cs="David" w:hint="cs"/>
          <w:rtl/>
        </w:rPr>
        <w:t>ה המקדמית של הנתבעת ולקבוע כי חלה</w:t>
      </w:r>
      <w:r>
        <w:rPr>
          <w:rFonts w:ascii="David" w:hAnsi="David" w:cs="David" w:hint="cs"/>
          <w:rtl/>
        </w:rPr>
        <w:t xml:space="preserve"> התיישנות, איני נדרשת ל</w:t>
      </w:r>
      <w:r w:rsidR="000A67D7">
        <w:rPr>
          <w:rFonts w:ascii="David" w:hAnsi="David" w:cs="David" w:hint="cs"/>
          <w:rtl/>
        </w:rPr>
        <w:t>המשיך ול</w:t>
      </w:r>
      <w:r>
        <w:rPr>
          <w:rFonts w:ascii="David" w:hAnsi="David" w:cs="David" w:hint="cs"/>
          <w:rtl/>
        </w:rPr>
        <w:t>בחון את מחלוקת</w:t>
      </w:r>
      <w:r w:rsidR="000A67D7">
        <w:rPr>
          <w:rFonts w:ascii="David" w:hAnsi="David" w:cs="David" w:hint="cs"/>
          <w:rtl/>
        </w:rPr>
        <w:t xml:space="preserve"> הצדדים </w:t>
      </w:r>
      <w:r>
        <w:rPr>
          <w:rFonts w:ascii="David" w:hAnsi="David" w:cs="David" w:hint="cs"/>
          <w:rtl/>
        </w:rPr>
        <w:t>ביחס למועד ביצוע איזון המשאבים.</w:t>
      </w:r>
    </w:p>
    <w:p w:rsidR="008375D5" w:rsidRPr="008375D5" w:rsidRDefault="008375D5" w:rsidP="008375D5">
      <w:pPr>
        <w:pStyle w:val="ad"/>
        <w:rPr>
          <w:rFonts w:ascii="David" w:hAnsi="David" w:cs="David"/>
          <w:rtl/>
        </w:rPr>
      </w:pPr>
    </w:p>
    <w:p w:rsidR="008375D5" w:rsidRDefault="00982E81" w:rsidP="008375D5">
      <w:pPr>
        <w:spacing w:line="360" w:lineRule="auto"/>
        <w:jc w:val="both"/>
        <w:rPr>
          <w:rFonts w:ascii="David" w:hAnsi="David"/>
          <w:b/>
          <w:bCs/>
          <w:rtl/>
        </w:rPr>
      </w:pPr>
      <w:r w:rsidRPr="00982E81">
        <w:rPr>
          <w:rFonts w:ascii="David" w:hAnsi="David" w:hint="cs"/>
          <w:b/>
          <w:bCs/>
          <w:rtl/>
        </w:rPr>
        <w:t>סוף דבר</w:t>
      </w:r>
    </w:p>
    <w:p w:rsidR="00982E81" w:rsidRDefault="00982E81" w:rsidP="008375D5">
      <w:pPr>
        <w:spacing w:line="360" w:lineRule="auto"/>
        <w:jc w:val="both"/>
        <w:rPr>
          <w:rFonts w:ascii="David" w:hAnsi="David"/>
          <w:b/>
          <w:bCs/>
          <w:rtl/>
        </w:rPr>
      </w:pPr>
    </w:p>
    <w:p w:rsidR="00982E81" w:rsidRDefault="00982E81" w:rsidP="00982E81">
      <w:pPr>
        <w:pStyle w:val="Ruller4"/>
        <w:numPr>
          <w:ilvl w:val="0"/>
          <w:numId w:val="2"/>
        </w:numPr>
        <w:contextualSpacing/>
        <w:rPr>
          <w:rFonts w:ascii="David" w:hAnsi="David" w:cs="David"/>
          <w:szCs w:val="24"/>
        </w:rPr>
      </w:pPr>
      <w:r>
        <w:rPr>
          <w:rFonts w:ascii="David" w:hAnsi="David" w:cs="David"/>
          <w:szCs w:val="24"/>
          <w:rtl/>
        </w:rPr>
        <w:t>משהוכח בפניי כי התנאים הנדרשים ל</w:t>
      </w:r>
      <w:r>
        <w:rPr>
          <w:rFonts w:ascii="David" w:hAnsi="David" w:cs="David" w:hint="cs"/>
          <w:szCs w:val="24"/>
          <w:rtl/>
        </w:rPr>
        <w:t>דחיית</w:t>
      </w:r>
      <w:r>
        <w:rPr>
          <w:rFonts w:ascii="David" w:hAnsi="David" w:cs="David"/>
          <w:szCs w:val="24"/>
          <w:rtl/>
        </w:rPr>
        <w:t xml:space="preserve"> התביעה</w:t>
      </w:r>
      <w:r>
        <w:rPr>
          <w:rFonts w:ascii="David" w:hAnsi="David" w:cs="David" w:hint="cs"/>
          <w:szCs w:val="24"/>
          <w:rtl/>
        </w:rPr>
        <w:t xml:space="preserve"> </w:t>
      </w:r>
      <w:r>
        <w:rPr>
          <w:rFonts w:ascii="David" w:hAnsi="David" w:cs="David"/>
          <w:szCs w:val="24"/>
          <w:rtl/>
        </w:rPr>
        <w:t>על הסף מחמת התיישנות מתקיימים</w:t>
      </w:r>
      <w:r>
        <w:rPr>
          <w:rFonts w:ascii="David" w:hAnsi="David" w:cs="David" w:hint="cs"/>
          <w:szCs w:val="24"/>
          <w:rtl/>
        </w:rPr>
        <w:t>,</w:t>
      </w:r>
      <w:r>
        <w:rPr>
          <w:rFonts w:ascii="David" w:hAnsi="David" w:cs="David" w:hint="cs"/>
          <w:szCs w:val="24"/>
        </w:rPr>
        <w:t xml:space="preserve"> </w:t>
      </w:r>
      <w:r>
        <w:rPr>
          <w:rFonts w:ascii="David" w:hAnsi="David" w:cs="David" w:hint="cs"/>
          <w:szCs w:val="24"/>
          <w:rtl/>
        </w:rPr>
        <w:t>אני מורה דחיית התביעה</w:t>
      </w:r>
      <w:r w:rsidR="00CD3449">
        <w:rPr>
          <w:rFonts w:ascii="David" w:hAnsi="David" w:cs="David" w:hint="cs"/>
          <w:szCs w:val="24"/>
          <w:rtl/>
        </w:rPr>
        <w:t xml:space="preserve"> וסילוקה על הסף</w:t>
      </w:r>
      <w:r>
        <w:rPr>
          <w:rFonts w:ascii="David" w:hAnsi="David" w:cs="David" w:hint="cs"/>
          <w:szCs w:val="24"/>
          <w:rtl/>
        </w:rPr>
        <w:t>.</w:t>
      </w:r>
    </w:p>
    <w:p w:rsidR="00982E81" w:rsidRDefault="00982E81" w:rsidP="00982E81">
      <w:pPr>
        <w:pStyle w:val="Ruller4"/>
        <w:rPr>
          <w:rFonts w:ascii="David" w:hAnsi="David" w:cs="David"/>
          <w:szCs w:val="24"/>
          <w:rtl/>
        </w:rPr>
      </w:pPr>
    </w:p>
    <w:p w:rsidR="00982E81" w:rsidRDefault="00982E81" w:rsidP="00CD3449">
      <w:pPr>
        <w:pStyle w:val="Ruller4"/>
        <w:numPr>
          <w:ilvl w:val="0"/>
          <w:numId w:val="2"/>
        </w:numPr>
        <w:contextualSpacing/>
        <w:rPr>
          <w:rFonts w:ascii="David" w:hAnsi="David" w:cs="David"/>
          <w:szCs w:val="24"/>
          <w:rtl/>
        </w:rPr>
      </w:pPr>
      <w:r>
        <w:rPr>
          <w:rFonts w:ascii="David" w:hAnsi="David" w:cs="David"/>
          <w:szCs w:val="24"/>
          <w:rtl/>
        </w:rPr>
        <w:lastRenderedPageBreak/>
        <w:t xml:space="preserve">לנוכח השלב המוקדם בו מצוי ההליך, זהות הצדדים וחרף שהוגש כתב הגנה לתיק, בנסיבות </w:t>
      </w:r>
      <w:r w:rsidRPr="00192F29">
        <w:rPr>
          <w:rFonts w:ascii="David" w:hAnsi="David" w:cs="David"/>
          <w:szCs w:val="24"/>
          <w:rtl/>
        </w:rPr>
        <w:t>העניין מצאתי לנכון לפסוק הוצאות</w:t>
      </w:r>
      <w:r w:rsidR="00CD3449" w:rsidRPr="00192F29">
        <w:rPr>
          <w:rFonts w:ascii="David" w:hAnsi="David" w:cs="David" w:hint="cs"/>
          <w:szCs w:val="24"/>
          <w:rtl/>
        </w:rPr>
        <w:t xml:space="preserve"> מדודות יחסית</w:t>
      </w:r>
      <w:r w:rsidRPr="00192F29">
        <w:rPr>
          <w:rFonts w:ascii="David" w:hAnsi="David" w:cs="David"/>
          <w:szCs w:val="24"/>
          <w:rtl/>
        </w:rPr>
        <w:t xml:space="preserve"> כנגד התובע</w:t>
      </w:r>
      <w:r w:rsidRPr="00192F29">
        <w:rPr>
          <w:rFonts w:ascii="David" w:hAnsi="David" w:cs="David" w:hint="cs"/>
          <w:szCs w:val="24"/>
          <w:rtl/>
        </w:rPr>
        <w:t>ים</w:t>
      </w:r>
      <w:r w:rsidRPr="00192F29">
        <w:rPr>
          <w:rFonts w:ascii="David" w:hAnsi="David" w:cs="David"/>
          <w:szCs w:val="24"/>
          <w:rtl/>
        </w:rPr>
        <w:t xml:space="preserve">. לפיכך, </w:t>
      </w:r>
      <w:r w:rsidR="00CD3449" w:rsidRPr="00192F29">
        <w:rPr>
          <w:rFonts w:ascii="David" w:hAnsi="David" w:cs="David" w:hint="cs"/>
          <w:szCs w:val="24"/>
          <w:rtl/>
        </w:rPr>
        <w:t xml:space="preserve">אני קובעת שהתובעים ישלמו לנתבעת </w:t>
      </w:r>
      <w:r w:rsidR="00192F29">
        <w:rPr>
          <w:rFonts w:ascii="David" w:hAnsi="David" w:cs="David" w:hint="cs"/>
          <w:szCs w:val="24"/>
          <w:rtl/>
        </w:rPr>
        <w:t xml:space="preserve">יחד, ובחלקים שווים, </w:t>
      </w:r>
      <w:r w:rsidR="00CD3449" w:rsidRPr="00192F29">
        <w:rPr>
          <w:rFonts w:ascii="David" w:hAnsi="David" w:cs="David" w:hint="cs"/>
          <w:szCs w:val="24"/>
          <w:rtl/>
        </w:rPr>
        <w:t>סך של 30,000 ₪ כהוצאות משפט וזאת</w:t>
      </w:r>
      <w:r w:rsidR="00CD3449">
        <w:rPr>
          <w:rFonts w:ascii="David" w:hAnsi="David" w:cs="David" w:hint="cs"/>
          <w:szCs w:val="24"/>
          <w:rtl/>
        </w:rPr>
        <w:t xml:space="preserve"> בתוך 30 יום מהיום.</w:t>
      </w:r>
    </w:p>
    <w:p w:rsidR="00982E81" w:rsidRDefault="00982E81" w:rsidP="00982E81">
      <w:pPr>
        <w:pStyle w:val="ad"/>
        <w:rPr>
          <w:rFonts w:ascii="David" w:hAnsi="David" w:cs="David"/>
        </w:rPr>
      </w:pPr>
    </w:p>
    <w:p w:rsidR="00982E81" w:rsidRDefault="00982E81" w:rsidP="00982E81">
      <w:pPr>
        <w:pStyle w:val="10"/>
        <w:numPr>
          <w:ilvl w:val="0"/>
          <w:numId w:val="2"/>
        </w:numPr>
        <w:bidi/>
        <w:spacing w:before="0" w:beforeAutospacing="0" w:after="0" w:afterAutospacing="0" w:line="360" w:lineRule="auto"/>
        <w:jc w:val="both"/>
        <w:rPr>
          <w:rFonts w:ascii="David" w:hAnsi="David" w:cs="David"/>
          <w:color w:val="000000"/>
        </w:rPr>
      </w:pPr>
      <w:r>
        <w:rPr>
          <w:rFonts w:ascii="David" w:hAnsi="David" w:cs="David"/>
          <w:color w:val="000000"/>
          <w:rtl/>
        </w:rPr>
        <w:t>המזכירות תמציא החלטה זו לצדדים, ותסגור את התיק.</w:t>
      </w:r>
    </w:p>
    <w:p w:rsidR="00982E81" w:rsidRDefault="00982E81" w:rsidP="00982E81">
      <w:pPr>
        <w:pStyle w:val="ad"/>
        <w:rPr>
          <w:rFonts w:ascii="David" w:hAnsi="David" w:cs="David"/>
          <w:color w:val="000000"/>
        </w:rPr>
      </w:pPr>
    </w:p>
    <w:p w:rsidR="00192F29" w:rsidRDefault="00192F29">
      <w:pPr>
        <w:spacing w:line="360" w:lineRule="auto"/>
        <w:jc w:val="both"/>
        <w:rPr>
          <w:rFonts w:ascii="Arial" w:hAnsi="Arial"/>
          <w:noProof w:val="0"/>
          <w:rtl/>
        </w:rPr>
      </w:pPr>
    </w:p>
    <w:p w:rsidR="00694556" w:rsidRDefault="00192F29">
      <w:pPr>
        <w:spacing w:line="360" w:lineRule="auto"/>
        <w:jc w:val="both"/>
        <w:rPr>
          <w:rFonts w:ascii="Arial" w:hAnsi="Arial"/>
          <w:noProof w:val="0"/>
          <w:rtl/>
        </w:rPr>
      </w:pPr>
      <w:r>
        <w:rPr>
          <w:rFonts w:ascii="Arial" w:hAnsi="Arial" w:hint="cs"/>
          <w:noProof w:val="0"/>
          <w:rtl/>
        </w:rPr>
        <w:t>החלטתי ניתנת לפרסום בהיעדר פרטים מזהים.</w:t>
      </w:r>
    </w:p>
    <w:p w:rsidR="00192F29" w:rsidRPr="00DE1E7D" w:rsidRDefault="00192F29">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 כסלו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10 דצמבר 2024</w:t>
          </w:r>
        </w:sdtContent>
      </w:sdt>
      <w:r w:rsidR="00005C8B">
        <w:rPr>
          <w:rFonts w:ascii="Arial" w:hAnsi="Arial"/>
          <w:noProof w:val="0"/>
          <w:rtl/>
        </w:rPr>
        <w:t>, בהעדר הצדדים.</w:t>
      </w:r>
    </w:p>
    <w:p w:rsidR="00C43648" w:rsidRDefault="006F4C5C"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72347887"/>
        </w:sdtPr>
        <w:sdtEndPr/>
        <w:sdtContent>
          <w:r w:rsidR="001D5BCC">
            <w:drawing>
              <wp:inline distT="0" distB="0" distL="0" distR="0" wp14:editId="50D07946">
                <wp:extent cx="1314450" cy="1533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14450" cy="15335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11"/>
      <w:headerReference w:type="default" r:id="rId12"/>
      <w:footerReference w:type="even" r:id="rId13"/>
      <w:footerReference w:type="default" r:id="rId14"/>
      <w:headerReference w:type="first" r:id="rId15"/>
      <w:footerReference w:type="first" r:id="rId16"/>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4C5C" w:rsidRDefault="006F4C5C">
      <w:r>
        <w:separator/>
      </w:r>
    </w:p>
  </w:endnote>
  <w:endnote w:type="continuationSeparator" w:id="0">
    <w:p w:rsidR="006F4C5C" w:rsidRDefault="006F4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54E6" w:rsidRDefault="004A54E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A54E6">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A54E6">
      <w:rPr>
        <w:rStyle w:val="ab"/>
        <w:rtl/>
      </w:rPr>
      <w:t>9</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54E6" w:rsidRDefault="004A54E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4C5C" w:rsidRDefault="006F4C5C">
      <w:r>
        <w:separator/>
      </w:r>
    </w:p>
  </w:footnote>
  <w:footnote w:type="continuationSeparator" w:id="0">
    <w:p w:rsidR="006F4C5C" w:rsidRDefault="006F4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54E6" w:rsidRDefault="004A54E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6F4C5C" w:rsidP="00364EA0">
          <w:pPr>
            <w:rPr>
              <w:b/>
              <w:bCs/>
              <w:noProof w:val="0"/>
              <w:sz w:val="26"/>
              <w:szCs w:val="26"/>
              <w:rtl/>
            </w:rPr>
          </w:pPr>
          <w:sdt>
            <w:sdtPr>
              <w:rPr>
                <w:rtl/>
              </w:rPr>
              <w:alias w:val="1170"/>
              <w:tag w:val="1170"/>
              <w:id w:val="1066377040"/>
              <w:text w:multiLine="1"/>
            </w:sdtPr>
            <w:sdtEndPr/>
            <w:sdtContent>
              <w:proofErr w:type="spellStart"/>
              <w:r w:rsidR="00064651">
                <w:rPr>
                  <w:b/>
                  <w:bCs/>
                  <w:noProof w:val="0"/>
                  <w:sz w:val="26"/>
                  <w:szCs w:val="26"/>
                  <w:rtl/>
                </w:rPr>
                <w:t>תמ"ש</w:t>
              </w:r>
              <w:proofErr w:type="spellEnd"/>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064651">
                <w:rPr>
                  <w:b/>
                  <w:bCs/>
                  <w:noProof w:val="0"/>
                  <w:sz w:val="26"/>
                  <w:szCs w:val="26"/>
                  <w:rtl/>
                </w:rPr>
                <w:t>18829-01-23</w:t>
              </w:r>
            </w:sdtContent>
          </w:sdt>
          <w:bookmarkEnd w:id="1"/>
          <w:r w:rsidR="00005C8B">
            <w:rPr>
              <w:b/>
              <w:bCs/>
              <w:noProof w:val="0"/>
              <w:sz w:val="26"/>
              <w:szCs w:val="26"/>
              <w:rtl/>
            </w:rPr>
            <w:t xml:space="preserve"> </w:t>
          </w:r>
          <w:sdt>
            <w:sdtPr>
              <w:rPr>
                <w:rtl/>
              </w:rPr>
              <w:alias w:val="1172"/>
              <w:tag w:val="1172"/>
              <w:id w:val="-595170033"/>
              <w:text w:multiLine="1"/>
            </w:sdtPr>
            <w:sdtEndPr/>
            <w:sdtContent>
              <w:r w:rsidR="00364EA0">
                <w:rPr>
                  <w:rFonts w:hint="cs"/>
                  <w:b/>
                  <w:bCs/>
                  <w:noProof w:val="0"/>
                  <w:sz w:val="26"/>
                  <w:szCs w:val="26"/>
                  <w:rtl/>
                </w:rPr>
                <w:t>ל'</w:t>
              </w:r>
              <w:r w:rsidR="00064651">
                <w:rPr>
                  <w:b/>
                  <w:bCs/>
                  <w:noProof w:val="0"/>
                  <w:sz w:val="26"/>
                  <w:szCs w:val="26"/>
                  <w:rtl/>
                </w:rPr>
                <w:t xml:space="preserve"> נ' </w:t>
              </w:r>
              <w:r w:rsidR="00364EA0">
                <w:rPr>
                  <w:rFonts w:hint="cs"/>
                  <w:b/>
                  <w:bCs/>
                  <w:noProof w:val="0"/>
                  <w:sz w:val="26"/>
                  <w:szCs w:val="26"/>
                  <w:rtl/>
                </w:rPr>
                <w:t>ג'</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54E6" w:rsidRDefault="004A54E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17BC3"/>
    <w:multiLevelType w:val="hybridMultilevel"/>
    <w:tmpl w:val="92D0CB36"/>
    <w:lvl w:ilvl="0" w:tplc="0409000F">
      <w:start w:val="1"/>
      <w:numFmt w:val="decimal"/>
      <w:lvlText w:val="%1."/>
      <w:lvlJc w:val="left"/>
      <w:pPr>
        <w:ind w:left="1363" w:hanging="360"/>
      </w:p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1" w15:restartNumberingAfterBreak="0">
    <w:nsid w:val="09094235"/>
    <w:multiLevelType w:val="hybridMultilevel"/>
    <w:tmpl w:val="122CA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E2633C"/>
    <w:multiLevelType w:val="hybridMultilevel"/>
    <w:tmpl w:val="17C8B7AA"/>
    <w:lvl w:ilvl="0" w:tplc="99CA4602">
      <w:start w:val="1"/>
      <w:numFmt w:val="decimal"/>
      <w:lvlText w:val="%1."/>
      <w:lvlJc w:val="left"/>
      <w:pPr>
        <w:ind w:left="720" w:hanging="360"/>
      </w:pPr>
    </w:lvl>
    <w:lvl w:ilvl="1" w:tplc="425C1520">
      <w:start w:val="1"/>
      <w:numFmt w:val="lowerLetter"/>
      <w:lvlText w:val="%2."/>
      <w:lvlJc w:val="left"/>
      <w:pPr>
        <w:ind w:left="1440" w:hanging="360"/>
      </w:pPr>
    </w:lvl>
    <w:lvl w:ilvl="2" w:tplc="EFCE3972">
      <w:start w:val="1"/>
      <w:numFmt w:val="lowerRoman"/>
      <w:lvlText w:val="%3."/>
      <w:lvlJc w:val="right"/>
      <w:pPr>
        <w:ind w:left="2160" w:hanging="180"/>
      </w:pPr>
    </w:lvl>
    <w:lvl w:ilvl="3" w:tplc="1C1825A6">
      <w:start w:val="1"/>
      <w:numFmt w:val="decimal"/>
      <w:lvlText w:val="%4."/>
      <w:lvlJc w:val="left"/>
      <w:pPr>
        <w:ind w:left="2880" w:hanging="360"/>
      </w:pPr>
    </w:lvl>
    <w:lvl w:ilvl="4" w:tplc="CB5E48D4">
      <w:start w:val="1"/>
      <w:numFmt w:val="lowerLetter"/>
      <w:lvlText w:val="%5."/>
      <w:lvlJc w:val="left"/>
      <w:pPr>
        <w:ind w:left="3600" w:hanging="360"/>
      </w:pPr>
    </w:lvl>
    <w:lvl w:ilvl="5" w:tplc="4CE09D44">
      <w:start w:val="1"/>
      <w:numFmt w:val="lowerRoman"/>
      <w:lvlText w:val="%6."/>
      <w:lvlJc w:val="right"/>
      <w:pPr>
        <w:ind w:left="4320" w:hanging="180"/>
      </w:pPr>
    </w:lvl>
    <w:lvl w:ilvl="6" w:tplc="D8BC35B0">
      <w:start w:val="1"/>
      <w:numFmt w:val="decimal"/>
      <w:lvlText w:val="%7."/>
      <w:lvlJc w:val="left"/>
      <w:pPr>
        <w:ind w:left="5040" w:hanging="360"/>
      </w:pPr>
    </w:lvl>
    <w:lvl w:ilvl="7" w:tplc="21285CFE">
      <w:start w:val="1"/>
      <w:numFmt w:val="lowerLetter"/>
      <w:lvlText w:val="%8."/>
      <w:lvlJc w:val="left"/>
      <w:pPr>
        <w:ind w:left="5760" w:hanging="360"/>
      </w:pPr>
    </w:lvl>
    <w:lvl w:ilvl="8" w:tplc="08483760">
      <w:start w:val="1"/>
      <w:numFmt w:val="lowerRoman"/>
      <w:lvlText w:val="%9."/>
      <w:lvlJc w:val="right"/>
      <w:pPr>
        <w:ind w:left="6480" w:hanging="180"/>
      </w:pPr>
    </w:lvl>
  </w:abstractNum>
  <w:abstractNum w:abstractNumId="3" w15:restartNumberingAfterBreak="0">
    <w:nsid w:val="47D74E0C"/>
    <w:multiLevelType w:val="hybridMultilevel"/>
    <w:tmpl w:val="D5E09B40"/>
    <w:lvl w:ilvl="0" w:tplc="EF3A38BC">
      <w:start w:val="1"/>
      <w:numFmt w:val="hebrew1"/>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517D5E3A"/>
    <w:multiLevelType w:val="hybridMultilevel"/>
    <w:tmpl w:val="85C67786"/>
    <w:lvl w:ilvl="0" w:tplc="C4B4D834">
      <w:start w:val="1"/>
      <w:numFmt w:val="decimal"/>
      <w:lvlText w:val="%1."/>
      <w:lvlJc w:val="left"/>
      <w:pPr>
        <w:ind w:left="643" w:hanging="360"/>
      </w:pPr>
      <w:rPr>
        <w:rFonts w:ascii="David" w:hAnsi="David" w:cs="David" w:hint="default"/>
        <w:b w:val="0"/>
        <w:bCs w:val="0"/>
      </w:rPr>
    </w:lvl>
    <w:lvl w:ilvl="1" w:tplc="B19C4FA8">
      <w:start w:val="1"/>
      <w:numFmt w:val="decimal"/>
      <w:lvlText w:val="%2."/>
      <w:lvlJc w:val="left"/>
      <w:pPr>
        <w:ind w:left="1440" w:hanging="360"/>
      </w:pPr>
      <w:rPr>
        <w:rFonts w:ascii="David" w:eastAsia="Times New Roman" w:hAnsi="David" w:cs="David"/>
        <w:b w:val="0"/>
        <w:bCs w:val="0"/>
        <w:lang w:bidi="he-IL"/>
      </w:rPr>
    </w:lvl>
    <w:lvl w:ilvl="2" w:tplc="FE04A2DA">
      <w:start w:val="1"/>
      <w:numFmt w:val="lowerRoman"/>
      <w:lvlText w:val="%3."/>
      <w:lvlJc w:val="right"/>
      <w:pPr>
        <w:ind w:left="2160" w:hanging="180"/>
      </w:pPr>
    </w:lvl>
    <w:lvl w:ilvl="3" w:tplc="3146CBE8">
      <w:start w:val="1"/>
      <w:numFmt w:val="decimal"/>
      <w:lvlText w:val="%4."/>
      <w:lvlJc w:val="left"/>
      <w:pPr>
        <w:ind w:left="2880" w:hanging="360"/>
      </w:pPr>
    </w:lvl>
    <w:lvl w:ilvl="4" w:tplc="1286EE12">
      <w:start w:val="1"/>
      <w:numFmt w:val="lowerLetter"/>
      <w:lvlText w:val="%5."/>
      <w:lvlJc w:val="left"/>
      <w:pPr>
        <w:ind w:left="3600" w:hanging="360"/>
      </w:pPr>
    </w:lvl>
    <w:lvl w:ilvl="5" w:tplc="E0140AAE">
      <w:start w:val="1"/>
      <w:numFmt w:val="lowerRoman"/>
      <w:lvlText w:val="%6."/>
      <w:lvlJc w:val="right"/>
      <w:pPr>
        <w:ind w:left="4320" w:hanging="180"/>
      </w:pPr>
    </w:lvl>
    <w:lvl w:ilvl="6" w:tplc="1FC4F606">
      <w:start w:val="1"/>
      <w:numFmt w:val="decimal"/>
      <w:lvlText w:val="%7."/>
      <w:lvlJc w:val="left"/>
      <w:pPr>
        <w:ind w:left="5040" w:hanging="360"/>
      </w:pPr>
    </w:lvl>
    <w:lvl w:ilvl="7" w:tplc="F5EACFEC">
      <w:start w:val="1"/>
      <w:numFmt w:val="lowerLetter"/>
      <w:lvlText w:val="%8."/>
      <w:lvlJc w:val="left"/>
      <w:pPr>
        <w:ind w:left="5760" w:hanging="360"/>
      </w:pPr>
    </w:lvl>
    <w:lvl w:ilvl="8" w:tplc="34B2FBA2">
      <w:start w:val="1"/>
      <w:numFmt w:val="lowerRoman"/>
      <w:lvlText w:val="%9."/>
      <w:lvlJc w:val="right"/>
      <w:pPr>
        <w:ind w:left="6480" w:hanging="180"/>
      </w:pPr>
    </w:lvl>
  </w:abstractNum>
  <w:abstractNum w:abstractNumId="5" w15:restartNumberingAfterBreak="0">
    <w:nsid w:val="53B74E63"/>
    <w:multiLevelType w:val="hybridMultilevel"/>
    <w:tmpl w:val="EC529A94"/>
    <w:lvl w:ilvl="0" w:tplc="6D2A6C30">
      <w:start w:val="1"/>
      <w:numFmt w:val="decimal"/>
      <w:lvlText w:val="%1."/>
      <w:lvlJc w:val="left"/>
      <w:pPr>
        <w:ind w:left="720" w:hanging="360"/>
      </w:pPr>
    </w:lvl>
    <w:lvl w:ilvl="1" w:tplc="E000DD46">
      <w:start w:val="1"/>
      <w:numFmt w:val="lowerLetter"/>
      <w:lvlText w:val="%2."/>
      <w:lvlJc w:val="left"/>
      <w:pPr>
        <w:ind w:left="1440" w:hanging="360"/>
      </w:pPr>
    </w:lvl>
    <w:lvl w:ilvl="2" w:tplc="42449894">
      <w:start w:val="1"/>
      <w:numFmt w:val="lowerRoman"/>
      <w:lvlText w:val="%3."/>
      <w:lvlJc w:val="right"/>
      <w:pPr>
        <w:ind w:left="2160" w:hanging="180"/>
      </w:pPr>
    </w:lvl>
    <w:lvl w:ilvl="3" w:tplc="F21CB566">
      <w:start w:val="1"/>
      <w:numFmt w:val="decimal"/>
      <w:lvlText w:val="%4."/>
      <w:lvlJc w:val="left"/>
      <w:pPr>
        <w:ind w:left="2880" w:hanging="360"/>
      </w:pPr>
    </w:lvl>
    <w:lvl w:ilvl="4" w:tplc="9FB6A1CA">
      <w:start w:val="1"/>
      <w:numFmt w:val="lowerLetter"/>
      <w:lvlText w:val="%5."/>
      <w:lvlJc w:val="left"/>
      <w:pPr>
        <w:ind w:left="3600" w:hanging="360"/>
      </w:pPr>
    </w:lvl>
    <w:lvl w:ilvl="5" w:tplc="6B4EED7A">
      <w:start w:val="1"/>
      <w:numFmt w:val="lowerRoman"/>
      <w:lvlText w:val="%6."/>
      <w:lvlJc w:val="right"/>
      <w:pPr>
        <w:ind w:left="4320" w:hanging="180"/>
      </w:pPr>
    </w:lvl>
    <w:lvl w:ilvl="6" w:tplc="F7FE8E7C">
      <w:start w:val="1"/>
      <w:numFmt w:val="decimal"/>
      <w:lvlText w:val="%7."/>
      <w:lvlJc w:val="left"/>
      <w:pPr>
        <w:ind w:left="5040" w:hanging="360"/>
      </w:pPr>
    </w:lvl>
    <w:lvl w:ilvl="7" w:tplc="93D4C582">
      <w:start w:val="1"/>
      <w:numFmt w:val="lowerLetter"/>
      <w:lvlText w:val="%8."/>
      <w:lvlJc w:val="left"/>
      <w:pPr>
        <w:ind w:left="5760" w:hanging="360"/>
      </w:pPr>
    </w:lvl>
    <w:lvl w:ilvl="8" w:tplc="965AA2BC">
      <w:start w:val="1"/>
      <w:numFmt w:val="lowerRoman"/>
      <w:lvlText w:val="%9."/>
      <w:lvlJc w:val="right"/>
      <w:pPr>
        <w:ind w:left="6480" w:hanging="180"/>
      </w:pPr>
    </w:lvl>
  </w:abstractNum>
  <w:abstractNum w:abstractNumId="6" w15:restartNumberingAfterBreak="0">
    <w:nsid w:val="585F0FB2"/>
    <w:multiLevelType w:val="hybridMultilevel"/>
    <w:tmpl w:val="BA4CA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E43E1E"/>
    <w:multiLevelType w:val="hybridMultilevel"/>
    <w:tmpl w:val="05FA96E2"/>
    <w:lvl w:ilvl="0" w:tplc="EF982B8C">
      <w:start w:val="1"/>
      <w:numFmt w:val="decimal"/>
      <w:lvlText w:val="%1."/>
      <w:lvlJc w:val="left"/>
      <w:pPr>
        <w:ind w:left="2850" w:hanging="24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2B4B0C"/>
    <w:multiLevelType w:val="hybridMultilevel"/>
    <w:tmpl w:val="AD0406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A473DC"/>
    <w:multiLevelType w:val="hybridMultilevel"/>
    <w:tmpl w:val="57C6D7DE"/>
    <w:lvl w:ilvl="0" w:tplc="526205D6">
      <w:start w:val="1"/>
      <w:numFmt w:val="decimal"/>
      <w:lvlText w:val="%1."/>
      <w:lvlJc w:val="left"/>
      <w:pPr>
        <w:ind w:left="786" w:hanging="360"/>
      </w:pPr>
      <w:rPr>
        <w:b w:val="0"/>
        <w:bCs w:val="0"/>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7B316CCF"/>
    <w:multiLevelType w:val="hybridMultilevel"/>
    <w:tmpl w:val="800E39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 w:numId="6">
    <w:abstractNumId w:val="5"/>
  </w:num>
  <w:num w:numId="7">
    <w:abstractNumId w:val="7"/>
  </w:num>
  <w:num w:numId="8">
    <w:abstractNumId w:val="10"/>
  </w:num>
  <w:num w:numId="9">
    <w:abstractNumId w:val="1"/>
  </w:num>
  <w:num w:numId="10">
    <w:abstractNumId w:val="8"/>
  </w:num>
  <w:num w:numId="11">
    <w:abstractNumId w:val="6"/>
  </w:num>
  <w:num w:numId="12">
    <w:abstractNumId w:val="0"/>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29A1"/>
    <w:rsid w:val="000529D2"/>
    <w:rsid w:val="000564AB"/>
    <w:rsid w:val="00064651"/>
    <w:rsid w:val="00064FBD"/>
    <w:rsid w:val="00082AB2"/>
    <w:rsid w:val="000906FE"/>
    <w:rsid w:val="00096AF7"/>
    <w:rsid w:val="000A67D7"/>
    <w:rsid w:val="000B344B"/>
    <w:rsid w:val="000C3B0F"/>
    <w:rsid w:val="000C3B60"/>
    <w:rsid w:val="000C62A1"/>
    <w:rsid w:val="000D155A"/>
    <w:rsid w:val="000E0DD2"/>
    <w:rsid w:val="000E3AF1"/>
    <w:rsid w:val="000E3DA6"/>
    <w:rsid w:val="000F0BC8"/>
    <w:rsid w:val="000F0DD6"/>
    <w:rsid w:val="00107E6D"/>
    <w:rsid w:val="0011194C"/>
    <w:rsid w:val="0011424C"/>
    <w:rsid w:val="001173C6"/>
    <w:rsid w:val="001367BC"/>
    <w:rsid w:val="00144D2A"/>
    <w:rsid w:val="0014653E"/>
    <w:rsid w:val="00180519"/>
    <w:rsid w:val="00191C82"/>
    <w:rsid w:val="00192F29"/>
    <w:rsid w:val="001A5BAA"/>
    <w:rsid w:val="001C3EEA"/>
    <w:rsid w:val="001C4003"/>
    <w:rsid w:val="001C6B1F"/>
    <w:rsid w:val="001D4DBF"/>
    <w:rsid w:val="001D5BCC"/>
    <w:rsid w:val="001E75CA"/>
    <w:rsid w:val="002265FF"/>
    <w:rsid w:val="00234943"/>
    <w:rsid w:val="00271162"/>
    <w:rsid w:val="00271B56"/>
    <w:rsid w:val="0028443A"/>
    <w:rsid w:val="002C344E"/>
    <w:rsid w:val="002C3F4A"/>
    <w:rsid w:val="002E75E9"/>
    <w:rsid w:val="002F5748"/>
    <w:rsid w:val="00307A6A"/>
    <w:rsid w:val="00307C40"/>
    <w:rsid w:val="00320433"/>
    <w:rsid w:val="003230C7"/>
    <w:rsid w:val="00327E50"/>
    <w:rsid w:val="0033597A"/>
    <w:rsid w:val="00343D89"/>
    <w:rsid w:val="00362612"/>
    <w:rsid w:val="00364EA0"/>
    <w:rsid w:val="0036743F"/>
    <w:rsid w:val="003715DD"/>
    <w:rsid w:val="003823E0"/>
    <w:rsid w:val="00386CE2"/>
    <w:rsid w:val="00397440"/>
    <w:rsid w:val="003A4521"/>
    <w:rsid w:val="003D1C8C"/>
    <w:rsid w:val="003F163B"/>
    <w:rsid w:val="0040096C"/>
    <w:rsid w:val="00414F1F"/>
    <w:rsid w:val="0043125D"/>
    <w:rsid w:val="0043502B"/>
    <w:rsid w:val="004443AC"/>
    <w:rsid w:val="00444B02"/>
    <w:rsid w:val="00445CF1"/>
    <w:rsid w:val="00451E28"/>
    <w:rsid w:val="00462C62"/>
    <w:rsid w:val="00465D36"/>
    <w:rsid w:val="00492E9C"/>
    <w:rsid w:val="004A54E6"/>
    <w:rsid w:val="004C17EE"/>
    <w:rsid w:val="004C4BDF"/>
    <w:rsid w:val="004D1187"/>
    <w:rsid w:val="004D3AA0"/>
    <w:rsid w:val="004D6248"/>
    <w:rsid w:val="004E1987"/>
    <w:rsid w:val="004E2E15"/>
    <w:rsid w:val="004E6E3C"/>
    <w:rsid w:val="00520898"/>
    <w:rsid w:val="00521374"/>
    <w:rsid w:val="00523621"/>
    <w:rsid w:val="00524986"/>
    <w:rsid w:val="005268F6"/>
    <w:rsid w:val="00534284"/>
    <w:rsid w:val="00547DB7"/>
    <w:rsid w:val="005F4F09"/>
    <w:rsid w:val="006054D6"/>
    <w:rsid w:val="0061431B"/>
    <w:rsid w:val="00622BAA"/>
    <w:rsid w:val="006306CF"/>
    <w:rsid w:val="00644E9A"/>
    <w:rsid w:val="00652580"/>
    <w:rsid w:val="00671BD5"/>
    <w:rsid w:val="006761CB"/>
    <w:rsid w:val="006805C1"/>
    <w:rsid w:val="00682A0E"/>
    <w:rsid w:val="00686C21"/>
    <w:rsid w:val="006931C1"/>
    <w:rsid w:val="00694556"/>
    <w:rsid w:val="006A19A4"/>
    <w:rsid w:val="006C30C5"/>
    <w:rsid w:val="006C4820"/>
    <w:rsid w:val="006D3B31"/>
    <w:rsid w:val="006E0D96"/>
    <w:rsid w:val="006E1A53"/>
    <w:rsid w:val="006F485F"/>
    <w:rsid w:val="006F4C5C"/>
    <w:rsid w:val="006F56E6"/>
    <w:rsid w:val="00704EDA"/>
    <w:rsid w:val="00721122"/>
    <w:rsid w:val="00741B07"/>
    <w:rsid w:val="00753019"/>
    <w:rsid w:val="00754801"/>
    <w:rsid w:val="00757522"/>
    <w:rsid w:val="00761441"/>
    <w:rsid w:val="00774F0B"/>
    <w:rsid w:val="00795365"/>
    <w:rsid w:val="007A351D"/>
    <w:rsid w:val="007B7765"/>
    <w:rsid w:val="007C5BDD"/>
    <w:rsid w:val="007C609F"/>
    <w:rsid w:val="007D45E3"/>
    <w:rsid w:val="007E6115"/>
    <w:rsid w:val="007F4609"/>
    <w:rsid w:val="00814468"/>
    <w:rsid w:val="008176A1"/>
    <w:rsid w:val="00820005"/>
    <w:rsid w:val="008277FA"/>
    <w:rsid w:val="008375D5"/>
    <w:rsid w:val="00844318"/>
    <w:rsid w:val="0086061C"/>
    <w:rsid w:val="00863F5D"/>
    <w:rsid w:val="00870890"/>
    <w:rsid w:val="00873602"/>
    <w:rsid w:val="00875D12"/>
    <w:rsid w:val="00881CCE"/>
    <w:rsid w:val="0088479D"/>
    <w:rsid w:val="00896889"/>
    <w:rsid w:val="00897DAF"/>
    <w:rsid w:val="008A3479"/>
    <w:rsid w:val="008C5714"/>
    <w:rsid w:val="008D10B2"/>
    <w:rsid w:val="008F7FF9"/>
    <w:rsid w:val="00903896"/>
    <w:rsid w:val="00906F3D"/>
    <w:rsid w:val="0094424E"/>
    <w:rsid w:val="00955642"/>
    <w:rsid w:val="009622DF"/>
    <w:rsid w:val="0096493F"/>
    <w:rsid w:val="00967DFF"/>
    <w:rsid w:val="00982E81"/>
    <w:rsid w:val="009913C8"/>
    <w:rsid w:val="00994341"/>
    <w:rsid w:val="00996935"/>
    <w:rsid w:val="009D1A48"/>
    <w:rsid w:val="009E1CE7"/>
    <w:rsid w:val="009E4EA5"/>
    <w:rsid w:val="009F164B"/>
    <w:rsid w:val="009F323C"/>
    <w:rsid w:val="00A248EE"/>
    <w:rsid w:val="00A3392B"/>
    <w:rsid w:val="00A85E34"/>
    <w:rsid w:val="00A94B64"/>
    <w:rsid w:val="00AA3229"/>
    <w:rsid w:val="00AA7596"/>
    <w:rsid w:val="00AB5E52"/>
    <w:rsid w:val="00AC1527"/>
    <w:rsid w:val="00AC259A"/>
    <w:rsid w:val="00AC30D6"/>
    <w:rsid w:val="00AC3B02"/>
    <w:rsid w:val="00AC3B7B"/>
    <w:rsid w:val="00AC5209"/>
    <w:rsid w:val="00AE0E34"/>
    <w:rsid w:val="00AE729E"/>
    <w:rsid w:val="00AE7752"/>
    <w:rsid w:val="00AF7595"/>
    <w:rsid w:val="00AF7FDA"/>
    <w:rsid w:val="00B02E09"/>
    <w:rsid w:val="00B40421"/>
    <w:rsid w:val="00B45B90"/>
    <w:rsid w:val="00B5356E"/>
    <w:rsid w:val="00B552C9"/>
    <w:rsid w:val="00B75852"/>
    <w:rsid w:val="00B809AD"/>
    <w:rsid w:val="00B80CBD"/>
    <w:rsid w:val="00B86096"/>
    <w:rsid w:val="00B964D9"/>
    <w:rsid w:val="00BA0A7C"/>
    <w:rsid w:val="00BA517C"/>
    <w:rsid w:val="00BB1011"/>
    <w:rsid w:val="00BB3D05"/>
    <w:rsid w:val="00BB73BE"/>
    <w:rsid w:val="00BC2D89"/>
    <w:rsid w:val="00BC3A39"/>
    <w:rsid w:val="00BD6531"/>
    <w:rsid w:val="00BE05B2"/>
    <w:rsid w:val="00BF1908"/>
    <w:rsid w:val="00C0724C"/>
    <w:rsid w:val="00C22D93"/>
    <w:rsid w:val="00C23458"/>
    <w:rsid w:val="00C31120"/>
    <w:rsid w:val="00C34482"/>
    <w:rsid w:val="00C34F87"/>
    <w:rsid w:val="00C42F5E"/>
    <w:rsid w:val="00C43648"/>
    <w:rsid w:val="00C50A9F"/>
    <w:rsid w:val="00C549E1"/>
    <w:rsid w:val="00C642FA"/>
    <w:rsid w:val="00C755F1"/>
    <w:rsid w:val="00CA0EF0"/>
    <w:rsid w:val="00CC7622"/>
    <w:rsid w:val="00CD3449"/>
    <w:rsid w:val="00CD608F"/>
    <w:rsid w:val="00CF6BB7"/>
    <w:rsid w:val="00D04AA4"/>
    <w:rsid w:val="00D11BA5"/>
    <w:rsid w:val="00D27982"/>
    <w:rsid w:val="00D33B86"/>
    <w:rsid w:val="00D340FC"/>
    <w:rsid w:val="00D44968"/>
    <w:rsid w:val="00D5377E"/>
    <w:rsid w:val="00D53924"/>
    <w:rsid w:val="00D55D0C"/>
    <w:rsid w:val="00D746F8"/>
    <w:rsid w:val="00D96D8C"/>
    <w:rsid w:val="00DA6649"/>
    <w:rsid w:val="00DB348B"/>
    <w:rsid w:val="00DC1259"/>
    <w:rsid w:val="00DC1BD2"/>
    <w:rsid w:val="00DC2571"/>
    <w:rsid w:val="00DC487C"/>
    <w:rsid w:val="00DD543E"/>
    <w:rsid w:val="00DE1E7D"/>
    <w:rsid w:val="00DE6BF6"/>
    <w:rsid w:val="00E04E84"/>
    <w:rsid w:val="00E1068A"/>
    <w:rsid w:val="00E25884"/>
    <w:rsid w:val="00E25B55"/>
    <w:rsid w:val="00E31C2B"/>
    <w:rsid w:val="00E5426A"/>
    <w:rsid w:val="00E54642"/>
    <w:rsid w:val="00E54CD9"/>
    <w:rsid w:val="00E6101F"/>
    <w:rsid w:val="00E65CFF"/>
    <w:rsid w:val="00E80CBE"/>
    <w:rsid w:val="00E962E3"/>
    <w:rsid w:val="00EB6C79"/>
    <w:rsid w:val="00EC37E9"/>
    <w:rsid w:val="00EF07F9"/>
    <w:rsid w:val="00F038D8"/>
    <w:rsid w:val="00F06995"/>
    <w:rsid w:val="00F13623"/>
    <w:rsid w:val="00F323EA"/>
    <w:rsid w:val="00F44D1D"/>
    <w:rsid w:val="00F60C57"/>
    <w:rsid w:val="00F84B6D"/>
    <w:rsid w:val="00F957E8"/>
    <w:rsid w:val="00FA2015"/>
    <w:rsid w:val="00FA311A"/>
    <w:rsid w:val="00FA5FDA"/>
    <w:rsid w:val="00FB6AB3"/>
    <w:rsid w:val="00FD1419"/>
    <w:rsid w:val="00FD79E4"/>
    <w:rsid w:val="00FE2818"/>
    <w:rsid w:val="00FE2894"/>
    <w:rsid w:val="00FF2517"/>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D5377E"/>
    <w:pPr>
      <w:ind w:left="720"/>
      <w:contextualSpacing/>
    </w:pPr>
    <w:rPr>
      <w:rFonts w:asciiTheme="minorHAnsi" w:eastAsiaTheme="minorHAnsi" w:hAnsiTheme="minorHAnsi" w:cstheme="minorBidi"/>
      <w:noProof w:val="0"/>
      <w:kern w:val="2"/>
      <w14:ligatures w14:val="standardContextual"/>
    </w:rPr>
  </w:style>
  <w:style w:type="paragraph" w:styleId="NormalWeb">
    <w:name w:val="Normal (Web)"/>
    <w:basedOn w:val="a"/>
    <w:uiPriority w:val="99"/>
    <w:semiHidden/>
    <w:unhideWhenUsed/>
    <w:rsid w:val="00B02E09"/>
    <w:pPr>
      <w:bidi w:val="0"/>
      <w:spacing w:before="100" w:beforeAutospacing="1" w:after="100" w:afterAutospacing="1"/>
    </w:pPr>
    <w:rPr>
      <w:rFonts w:cs="Times New Roman"/>
      <w:noProof w:val="0"/>
    </w:rPr>
  </w:style>
  <w:style w:type="character" w:styleId="Hyperlink">
    <w:name w:val="Hyperlink"/>
    <w:semiHidden/>
    <w:unhideWhenUsed/>
    <w:rsid w:val="006761CB"/>
    <w:rPr>
      <w:color w:val="0563C1"/>
      <w:u w:val="single"/>
    </w:rPr>
  </w:style>
  <w:style w:type="paragraph" w:customStyle="1" w:styleId="Ruller4">
    <w:name w:val="Ruller4"/>
    <w:basedOn w:val="a"/>
    <w:rsid w:val="006761CB"/>
    <w:pPr>
      <w:tabs>
        <w:tab w:val="left" w:pos="800"/>
      </w:tabs>
      <w:overflowPunct w:val="0"/>
      <w:autoSpaceDE w:val="0"/>
      <w:autoSpaceDN w:val="0"/>
      <w:adjustRightInd w:val="0"/>
      <w:spacing w:line="360" w:lineRule="auto"/>
      <w:jc w:val="both"/>
    </w:pPr>
    <w:rPr>
      <w:rFonts w:cs="FrankRuehl"/>
      <w:noProof w:val="0"/>
      <w:spacing w:val="10"/>
      <w:szCs w:val="28"/>
    </w:rPr>
  </w:style>
  <w:style w:type="paragraph" w:customStyle="1" w:styleId="10">
    <w:name w:val="פיסקת רשימה1"/>
    <w:basedOn w:val="a"/>
    <w:qFormat/>
    <w:rsid w:val="006761CB"/>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896414">
      <w:bodyDiv w:val="1"/>
      <w:marLeft w:val="0"/>
      <w:marRight w:val="0"/>
      <w:marTop w:val="0"/>
      <w:marBottom w:val="0"/>
      <w:divBdr>
        <w:top w:val="none" w:sz="0" w:space="0" w:color="auto"/>
        <w:left w:val="none" w:sz="0" w:space="0" w:color="auto"/>
        <w:bottom w:val="none" w:sz="0" w:space="0" w:color="auto"/>
        <w:right w:val="none" w:sz="0" w:space="0" w:color="auto"/>
      </w:divBdr>
    </w:div>
    <w:div w:id="921371285">
      <w:bodyDiv w:val="1"/>
      <w:marLeft w:val="0"/>
      <w:marRight w:val="0"/>
      <w:marTop w:val="0"/>
      <w:marBottom w:val="0"/>
      <w:divBdr>
        <w:top w:val="none" w:sz="0" w:space="0" w:color="auto"/>
        <w:left w:val="none" w:sz="0" w:space="0" w:color="auto"/>
        <w:bottom w:val="none" w:sz="0" w:space="0" w:color="auto"/>
        <w:right w:val="none" w:sz="0" w:space="0" w:color="auto"/>
      </w:divBdr>
    </w:div>
    <w:div w:id="117591746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66011288">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59251457">
      <w:bodyDiv w:val="1"/>
      <w:marLeft w:val="0"/>
      <w:marRight w:val="0"/>
      <w:marTop w:val="0"/>
      <w:marBottom w:val="0"/>
      <w:divBdr>
        <w:top w:val="none" w:sz="0" w:space="0" w:color="auto"/>
        <w:left w:val="none" w:sz="0" w:space="0" w:color="auto"/>
        <w:bottom w:val="none" w:sz="0" w:space="0" w:color="auto"/>
        <w:right w:val="none" w:sz="0" w:space="0" w:color="auto"/>
      </w:divBdr>
    </w:div>
    <w:div w:id="177825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jp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evo.co.il/safrut/bookgroup/2064"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1F1217" w:rsidP="001F1217">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05E7DE95815641A5862D6440CD534EB0"/>
        <w:category>
          <w:name w:val="כללי"/>
          <w:gallery w:val="placeholder"/>
        </w:category>
        <w:types>
          <w:type w:val="bbPlcHdr"/>
        </w:types>
        <w:behaviors>
          <w:behavior w:val="content"/>
        </w:behaviors>
        <w:guid w:val="{78D87E1C-EC59-47C3-9A9D-ED7FFF53537E}"/>
      </w:docPartPr>
      <w:docPartBody>
        <w:p w:rsidR="0086433F" w:rsidRDefault="002A56A9" w:rsidP="002A56A9">
          <w:pPr>
            <w:pStyle w:val="05E7DE95815641A5862D6440CD534EB0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1B3392"/>
    <w:rsid w:val="001F1217"/>
    <w:rsid w:val="002A56A9"/>
    <w:rsid w:val="002D02C4"/>
    <w:rsid w:val="00345C9D"/>
    <w:rsid w:val="00405FEA"/>
    <w:rsid w:val="004745AE"/>
    <w:rsid w:val="0048651F"/>
    <w:rsid w:val="005157ED"/>
    <w:rsid w:val="00556D67"/>
    <w:rsid w:val="00746837"/>
    <w:rsid w:val="00793995"/>
    <w:rsid w:val="007C6F98"/>
    <w:rsid w:val="007E254A"/>
    <w:rsid w:val="0086433F"/>
    <w:rsid w:val="008B4366"/>
    <w:rsid w:val="008D2002"/>
    <w:rsid w:val="009133C7"/>
    <w:rsid w:val="009178E4"/>
    <w:rsid w:val="00961B27"/>
    <w:rsid w:val="0099002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F1217"/>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2031</Words>
  <Characters>10155</Characters>
  <Application>Microsoft Office Word</Application>
  <DocSecurity>0</DocSecurity>
  <Lines>84</Lines>
  <Paragraphs>24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cp:lastPrinted>2024-12-02T10:14:00Z</cp:lastPrinted>
  <dcterms:created xsi:type="dcterms:W3CDTF">2024-12-12T10:58:00Z</dcterms:created>
  <dcterms:modified xsi:type="dcterms:W3CDTF">2024-12-12T10:58:00Z</dcterms:modified>
</cp:coreProperties>
</file>